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小标宋" w:hAnsi="方正粗黑宋简体" w:eastAsia="小标宋"/>
          <w:color w:val="000000"/>
          <w:sz w:val="44"/>
          <w:szCs w:val="44"/>
        </w:rPr>
      </w:pPr>
      <w:r>
        <w:rPr>
          <w:rFonts w:hint="eastAsia" w:ascii="小标宋" w:eastAsia="小标宋"/>
          <w:bCs/>
          <w:color w:val="000000"/>
          <w:sz w:val="44"/>
          <w:szCs w:val="44"/>
        </w:rPr>
        <w:t>2020年暨南大学珠海校区纪律教育学习月活动实施方案</w:t>
      </w:r>
    </w:p>
    <w:p>
      <w:pPr>
        <w:spacing w:line="560" w:lineRule="exact"/>
        <w:rPr>
          <w:rFonts w:ascii="仿宋_GB2312" w:eastAsia="仿宋_GB2312"/>
          <w:color w:val="000000"/>
          <w:sz w:val="32"/>
          <w:szCs w:val="32"/>
        </w:rPr>
      </w:pP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为了深入学习贯彻习近平新时代中国特色社会主义思</w:t>
      </w:r>
      <w:bookmarkStart w:id="0" w:name="_GoBack"/>
      <w:bookmarkEnd w:id="0"/>
      <w:r>
        <w:rPr>
          <w:rFonts w:hint="eastAsia" w:ascii="仿宋_GB2312" w:eastAsia="仿宋_GB2312"/>
          <w:color w:val="000000"/>
          <w:sz w:val="32"/>
          <w:szCs w:val="32"/>
        </w:rPr>
        <w:t>想，认真贯彻落实党的十九届四中全会精神和习近平总书记视察广东及暨南大学重要讲话精神，推动全面从严治党向纵深发展，根据学校党委关于开展纪律教育学习月活动的有关要求，结合校区实际，现就开展2020年校区纪律教育学习月活动提出以下实施方案。</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一、教育学习主题和总体安排</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以“严守政治纪律，践行‘两个维护’”为主题，以党员领导干部为重点，面向全校党员开展教育。突出教育的政治性，进一步引导广大党员增强“四个意识”、坚定“四个自信”、做到“两个维护”，严守政治纪律和政治规矩，自觉用党章党规党纪规范言行，不忘初心、牢记使命，改进作风、砥砺奋进，共同营造风清气正的良好政治生态，为学校建设“双一流”、高水平大学提供坚强有力的纪律保障。加强教师的法治和纪律教育，全面提高教师和教育工作者的法治素质、规则意识，引导教师坚持立德树人，做到自重、自省、自警、自励、自觉维护新时代人民教师的良好形象。</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校区纪律教育学习月活动安排在9-10月进行，各级党组织要根据校区党工委统一部署，注意区分不同对象，有重点、有针对性地组织好纪律教育学习活动；结合实际，合理安排时间，其中，集中开展教育学习时间不少于3天。</w:t>
      </w:r>
    </w:p>
    <w:p>
      <w:pPr>
        <w:spacing w:line="560" w:lineRule="exact"/>
        <w:ind w:firstLine="640" w:firstLineChars="200"/>
        <w:rPr>
          <w:rFonts w:ascii="黑体" w:hAnsi="黑体" w:eastAsia="黑体"/>
          <w:color w:val="000000"/>
          <w:sz w:val="32"/>
          <w:szCs w:val="32"/>
        </w:rPr>
      </w:pPr>
      <w:r>
        <w:rPr>
          <w:rFonts w:hint="eastAsia" w:ascii="黑体" w:hAnsi="黑体" w:eastAsia="黑体"/>
          <w:color w:val="000000"/>
          <w:sz w:val="32"/>
          <w:szCs w:val="32"/>
        </w:rPr>
        <w:t>二、组织领导</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为了加强对纪律教育学习月活动的领导，校区决定成立纪律教育学习月活动领导小组。领导小组人员名单如下：</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组  长：林晓灵   屈  挺</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副组长：张大朋</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成  员：易  俊  杨  丹  方俊彬   朱蕴利  肖  云</w:t>
      </w:r>
    </w:p>
    <w:p>
      <w:pPr>
        <w:spacing w:line="560" w:lineRule="exact"/>
        <w:ind w:left="1260" w:leftChars="600" w:firstLine="640" w:firstLineChars="200"/>
        <w:rPr>
          <w:rFonts w:ascii="仿宋_GB2312" w:hAnsi="宋体" w:eastAsia="仿宋_GB2312" w:cs="宋体"/>
          <w:color w:val="000000"/>
          <w:sz w:val="32"/>
          <w:szCs w:val="32"/>
        </w:rPr>
      </w:pPr>
      <w:r>
        <w:rPr>
          <w:rFonts w:ascii="仿宋_GB2312" w:hAnsi="宋体" w:eastAsia="仿宋_GB2312" w:cs="宋体"/>
          <w:color w:val="000000"/>
          <w:sz w:val="32"/>
          <w:szCs w:val="32"/>
        </w:rPr>
        <w:t>滕</w:t>
      </w:r>
      <w:r>
        <w:rPr>
          <w:rFonts w:hint="eastAsia" w:ascii="仿宋_GB2312" w:hAnsi="宋体" w:eastAsia="仿宋_GB2312" w:cs="宋体"/>
          <w:color w:val="000000"/>
          <w:sz w:val="32"/>
          <w:szCs w:val="32"/>
        </w:rPr>
        <w:t xml:space="preserve">  </w:t>
      </w:r>
      <w:r>
        <w:rPr>
          <w:rFonts w:ascii="仿宋_GB2312" w:hAnsi="宋体" w:eastAsia="仿宋_GB2312" w:cs="宋体"/>
          <w:color w:val="000000"/>
          <w:sz w:val="32"/>
          <w:szCs w:val="32"/>
        </w:rPr>
        <w:t>斌</w:t>
      </w:r>
      <w:r>
        <w:rPr>
          <w:rFonts w:hint="eastAsia" w:ascii="仿宋_GB2312" w:hAnsi="宋体" w:eastAsia="仿宋_GB2312" w:cs="宋体"/>
          <w:color w:val="000000"/>
          <w:sz w:val="32"/>
          <w:szCs w:val="32"/>
        </w:rPr>
        <w:t xml:space="preserve">  吕新广  冯璐秀   武建华  张宇明</w:t>
      </w:r>
    </w:p>
    <w:p>
      <w:pPr>
        <w:spacing w:line="560" w:lineRule="exact"/>
        <w:ind w:left="1260" w:leftChars="600"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潘群英  吕庆文  朱  鹏   陈韶鹏  周  放</w:t>
      </w:r>
    </w:p>
    <w:p>
      <w:pPr>
        <w:spacing w:line="560" w:lineRule="exact"/>
        <w:ind w:firstLine="1920" w:firstLineChars="600"/>
        <w:rPr>
          <w:rFonts w:ascii="仿宋_GB2312" w:hAnsi="宋体" w:eastAsia="仿宋_GB2312" w:cs="宋体"/>
          <w:color w:val="000000"/>
          <w:sz w:val="32"/>
          <w:szCs w:val="32"/>
        </w:rPr>
      </w:pPr>
      <w:r>
        <w:rPr>
          <w:rFonts w:hint="eastAsia" w:ascii="仿宋_GB2312" w:hAnsi="宋体" w:eastAsia="仿宋_GB2312" w:cs="宋体"/>
          <w:color w:val="000000"/>
          <w:sz w:val="32"/>
          <w:szCs w:val="32"/>
        </w:rPr>
        <w:t>周昌波  黄  勇</w:t>
      </w:r>
    </w:p>
    <w:p>
      <w:pPr>
        <w:spacing w:line="560" w:lineRule="exact"/>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领导小组下设办公室：</w:t>
      </w:r>
    </w:p>
    <w:p>
      <w:pPr>
        <w:spacing w:line="560" w:lineRule="exact"/>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主  任：张宇明 </w:t>
      </w:r>
    </w:p>
    <w:p>
      <w:pPr>
        <w:spacing w:line="560" w:lineRule="exact"/>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副主任：郑桂华  张少英  </w:t>
      </w:r>
    </w:p>
    <w:p>
      <w:pPr>
        <w:spacing w:line="560" w:lineRule="exact"/>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 xml:space="preserve">成  员：程  辉  朱俊英 </w:t>
      </w:r>
    </w:p>
    <w:p>
      <w:pPr>
        <w:spacing w:line="560" w:lineRule="exact"/>
        <w:ind w:firstLine="640" w:firstLineChars="200"/>
        <w:rPr>
          <w:rFonts w:ascii="黑体" w:hAnsi="黑体" w:eastAsia="黑体" w:cs="宋体"/>
          <w:color w:val="000000"/>
          <w:sz w:val="32"/>
          <w:szCs w:val="32"/>
        </w:rPr>
      </w:pPr>
      <w:r>
        <w:rPr>
          <w:rFonts w:hint="eastAsia" w:ascii="黑体" w:hAnsi="黑体" w:eastAsia="黑体" w:cs="宋体"/>
          <w:color w:val="000000"/>
          <w:sz w:val="32"/>
          <w:szCs w:val="32"/>
        </w:rPr>
        <w:t>三、教育学习内容</w:t>
      </w:r>
    </w:p>
    <w:p>
      <w:pPr>
        <w:spacing w:line="560" w:lineRule="exact"/>
        <w:ind w:firstLine="643" w:firstLineChars="200"/>
        <w:rPr>
          <w:rFonts w:ascii="仿宋_GB2312" w:hAnsi="宋体" w:eastAsia="仿宋_GB2312" w:cs="宋体"/>
          <w:color w:val="000000"/>
          <w:sz w:val="32"/>
          <w:szCs w:val="32"/>
        </w:rPr>
      </w:pPr>
      <w:r>
        <w:rPr>
          <w:rFonts w:hint="eastAsia" w:ascii="楷体" w:hAnsi="楷体" w:eastAsia="楷体" w:cs="楷体_GB2312"/>
          <w:b/>
          <w:color w:val="000000"/>
          <w:sz w:val="32"/>
          <w:szCs w:val="32"/>
        </w:rPr>
        <w:t>（一）深入学习贯彻习近平新时代中国特色社会主义思想。</w:t>
      </w:r>
      <w:r>
        <w:rPr>
          <w:rFonts w:hint="eastAsia" w:ascii="仿宋_GB2312" w:hAnsi="宋体" w:eastAsia="仿宋_GB2312" w:cs="宋体"/>
          <w:bCs/>
          <w:color w:val="000000"/>
          <w:sz w:val="32"/>
          <w:szCs w:val="32"/>
        </w:rPr>
        <w:t>组织开展习近平新时代中国特色社会主义思想系统化、常态化学习，重点学习</w:t>
      </w:r>
      <w:r>
        <w:rPr>
          <w:rFonts w:hint="eastAsia" w:ascii="仿宋_GB2312" w:hAnsi="宋体" w:eastAsia="仿宋_GB2312" w:cs="宋体"/>
          <w:color w:val="000000"/>
          <w:sz w:val="32"/>
          <w:szCs w:val="32"/>
        </w:rPr>
        <w:t>《习近平谈治国理政》第三卷，坚持读原著、学原文、悟原理，按照学懂弄通做实的要求，强化运用党的最新理论成果武装头脑、指导实践、推动工作，把习近平新时代中国特色社会主义思想学习宣传贯彻引向深入；认真学习贯彻习近平总书记关于全面从严治党重要论述，坚决贯彻落实党的十九大全面从严治党战略部署，持之以恒正风肃纪，深入推进党风廉政建设和反腐败斗争，弘扬忠诚老实、公道正派、实事求是、清正廉洁的价值观，永葆共产党人政治本色；</w:t>
      </w:r>
      <w:r>
        <w:rPr>
          <w:rFonts w:hint="eastAsia" w:ascii="仿宋_GB2312" w:hAnsi="宋体" w:eastAsia="仿宋_GB2312" w:cs="宋体"/>
          <w:sz w:val="32"/>
          <w:szCs w:val="32"/>
        </w:rPr>
        <w:t>认真学习贯彻十九届中央纪委四次全会、省委十二届九次全会和十二届省纪委五次全会精神，学习贯彻省委《关于建立健全坚决落实“两个维护”十项制度机制的意见》，</w:t>
      </w:r>
      <w:r>
        <w:rPr>
          <w:rFonts w:hint="eastAsia" w:ascii="仿宋_GB2312" w:hAnsi="宋体" w:eastAsia="仿宋_GB2312" w:cs="宋体"/>
          <w:color w:val="000000"/>
          <w:sz w:val="32"/>
          <w:szCs w:val="32"/>
        </w:rPr>
        <w:t>引导党员干部进一步严明政治纪律和政治规矩，深入肃清李嘉、万庆良恶劣影响，落实“三个决不允许”要求，增强反对形式主义、官僚主义的政治自觉，营造风清气正的干事环境。</w:t>
      </w:r>
    </w:p>
    <w:p>
      <w:pPr>
        <w:spacing w:line="560" w:lineRule="exact"/>
        <w:ind w:firstLine="643" w:firstLineChars="200"/>
        <w:rPr>
          <w:rFonts w:ascii="仿宋_GB2312" w:hAnsi="宋体" w:eastAsia="仿宋_GB2312" w:cs="宋体"/>
          <w:color w:val="000000"/>
          <w:sz w:val="32"/>
          <w:szCs w:val="32"/>
        </w:rPr>
      </w:pPr>
      <w:r>
        <w:rPr>
          <w:rFonts w:hint="eastAsia" w:ascii="楷体" w:hAnsi="楷体" w:eastAsia="楷体" w:cs="楷体_GB2312"/>
          <w:b/>
          <w:color w:val="000000"/>
          <w:sz w:val="32"/>
          <w:szCs w:val="32"/>
        </w:rPr>
        <w:t>（二）加强党章党规党纪教育</w:t>
      </w:r>
      <w:r>
        <w:rPr>
          <w:rFonts w:hint="eastAsia" w:ascii="楷体" w:hAnsi="楷体" w:eastAsia="楷体" w:cs="楷体_GB2312"/>
          <w:color w:val="000000"/>
          <w:sz w:val="32"/>
          <w:szCs w:val="32"/>
        </w:rPr>
        <w:t>。</w:t>
      </w:r>
      <w:r>
        <w:rPr>
          <w:rFonts w:hint="eastAsia" w:ascii="仿宋_GB2312" w:hAnsi="宋体" w:eastAsia="仿宋_GB2312" w:cs="宋体"/>
          <w:color w:val="000000"/>
          <w:sz w:val="32"/>
          <w:szCs w:val="32"/>
        </w:rPr>
        <w:t>开展党章党规党纪和法律法规学习教育，认真组织学习党章和《中国共产党纪律处分条例》《党委（党组）落实全面从严治党主体责任规定》等党内法规制度，以及宪法、监察法、民法典、公职人员政务处分法等国家法律法规，引导党员干部自觉用党章党规党纪规范言行，带头学法、尊法、守法、用法，提高运用法治思维和法治方式开展工作的能力，筑牢拒腐防变思想堤坝，督促党员干部切实履行全面从严治党政治责任。</w:t>
      </w:r>
    </w:p>
    <w:p>
      <w:pPr>
        <w:spacing w:line="560" w:lineRule="exact"/>
        <w:ind w:firstLine="643" w:firstLineChars="200"/>
        <w:rPr>
          <w:rFonts w:ascii="仿宋_GB2312" w:hAnsi="宋体" w:eastAsia="仿宋_GB2312" w:cs="宋体"/>
          <w:color w:val="000000"/>
          <w:sz w:val="32"/>
          <w:szCs w:val="32"/>
        </w:rPr>
      </w:pPr>
      <w:r>
        <w:rPr>
          <w:rFonts w:hint="eastAsia" w:ascii="楷体" w:hAnsi="楷体" w:eastAsia="楷体" w:cs="楷体_GB2312"/>
          <w:b/>
          <w:color w:val="000000"/>
          <w:sz w:val="32"/>
          <w:szCs w:val="32"/>
        </w:rPr>
        <w:t>（三）加强师德师风教育</w:t>
      </w:r>
      <w:r>
        <w:rPr>
          <w:rFonts w:hint="eastAsia" w:ascii="楷体" w:hAnsi="楷体" w:eastAsia="楷体" w:cs="楷体_GB2312"/>
          <w:color w:val="000000"/>
          <w:sz w:val="32"/>
          <w:szCs w:val="32"/>
        </w:rPr>
        <w:t>。</w:t>
      </w:r>
      <w:r>
        <w:rPr>
          <w:rFonts w:hint="eastAsia" w:ascii="仿宋_GB2312" w:hAnsi="宋体" w:eastAsia="仿宋_GB2312" w:cs="宋体"/>
          <w:color w:val="000000"/>
          <w:sz w:val="32"/>
          <w:szCs w:val="32"/>
        </w:rPr>
        <w:t>开展师德师风教育，着重加强教师的法治和纪律教育，认真组织学习《中华人民共和国教师法》、新时代教师职业行为十项准则和教师违反职业道德行为处理办法等系列文件要求，全面提高教师和教育工作者的法治素质、规则意识，引导教师坚持立德树人，做到自重、自省、自警、自励、自觉维护新时代人民教师的良好形象；积极开展优秀典型案例宣讲活动，深入挖掘在新冠肺炎疫情防控和决胜全面建成小康社会中涌现出来的教师先进事迹和感人故事，大力弘扬新时代教师教书育人、爱岗敬业、无私奉献的高尚品格，引导广大教职员工坚守为党育人、为国育才的初心使命，坚持育人为本、德育为先。</w:t>
      </w:r>
    </w:p>
    <w:p>
      <w:pPr>
        <w:spacing w:line="560" w:lineRule="exact"/>
        <w:ind w:firstLine="643" w:firstLineChars="200"/>
        <w:rPr>
          <w:rFonts w:ascii="仿宋_GB2312" w:hAnsi="宋体" w:eastAsia="仿宋_GB2312" w:cs="宋体"/>
          <w:color w:val="000000"/>
          <w:sz w:val="32"/>
          <w:szCs w:val="32"/>
        </w:rPr>
      </w:pPr>
      <w:r>
        <w:rPr>
          <w:rFonts w:hint="eastAsia" w:ascii="楷体" w:hAnsi="楷体" w:eastAsia="楷体" w:cs="楷体_GB2312"/>
          <w:b/>
          <w:color w:val="000000"/>
          <w:sz w:val="32"/>
          <w:szCs w:val="32"/>
        </w:rPr>
        <w:t>（四）开展警示教育</w:t>
      </w:r>
      <w:r>
        <w:rPr>
          <w:rFonts w:hint="eastAsia" w:ascii="楷体" w:hAnsi="楷体" w:eastAsia="楷体" w:cs="楷体_GB2312"/>
          <w:color w:val="000000"/>
          <w:sz w:val="32"/>
          <w:szCs w:val="32"/>
        </w:rPr>
        <w:t>。</w:t>
      </w:r>
      <w:r>
        <w:rPr>
          <w:rFonts w:hint="eastAsia" w:ascii="仿宋_GB2312" w:hAnsi="宋体" w:eastAsia="仿宋_GB2312" w:cs="宋体"/>
          <w:bCs/>
          <w:color w:val="000000"/>
          <w:sz w:val="32"/>
          <w:szCs w:val="32"/>
        </w:rPr>
        <w:t>聚焦</w:t>
      </w:r>
      <w:r>
        <w:rPr>
          <w:rFonts w:hint="eastAsia" w:ascii="仿宋_GB2312" w:hAnsi="宋体" w:eastAsia="仿宋_GB2312" w:cs="宋体"/>
          <w:color w:val="000000"/>
          <w:sz w:val="32"/>
          <w:szCs w:val="32"/>
        </w:rPr>
        <w:t>高校腐败易发多发的重点领域，开展以案说纪教育，通过剖析教育系统或身边近两年违纪违法案件、学习违纪违法人员忏悔录、观看警示教育片等形式，大力开展以案说纪教育，充分发挥反面典型案件的警示教育作用，以案示警、以案明纪，切实强化不敢腐的震慑作用、扎实不能腐的制度笼子、增强不想腐的政治自觉，引导党员干部知敬畏、存戒惧、守底线，把高标准和守底线统一起来。</w:t>
      </w:r>
    </w:p>
    <w:p>
      <w:pPr>
        <w:spacing w:line="560" w:lineRule="exact"/>
        <w:ind w:firstLine="640" w:firstLineChars="200"/>
        <w:rPr>
          <w:rFonts w:ascii="黑体" w:hAnsi="黑体" w:eastAsia="黑体" w:cs="宋体"/>
          <w:color w:val="000000"/>
          <w:sz w:val="32"/>
          <w:szCs w:val="32"/>
        </w:rPr>
      </w:pPr>
      <w:r>
        <w:rPr>
          <w:rFonts w:hint="eastAsia" w:ascii="黑体" w:hAnsi="黑体" w:eastAsia="黑体" w:cs="宋体"/>
          <w:color w:val="000000"/>
          <w:sz w:val="32"/>
          <w:szCs w:val="32"/>
        </w:rPr>
        <w:t>四、教育学习形式</w:t>
      </w:r>
    </w:p>
    <w:p>
      <w:pPr>
        <w:spacing w:line="560" w:lineRule="exact"/>
        <w:ind w:firstLine="643" w:firstLineChars="200"/>
        <w:rPr>
          <w:rFonts w:ascii="仿宋_GB2312" w:hAnsi="宋体" w:eastAsia="仿宋_GB2312" w:cs="宋体"/>
          <w:b/>
          <w:bCs/>
          <w:color w:val="000000"/>
          <w:sz w:val="32"/>
          <w:szCs w:val="32"/>
        </w:rPr>
      </w:pPr>
      <w:r>
        <w:rPr>
          <w:rFonts w:hint="eastAsia" w:ascii="楷体" w:hAnsi="楷体" w:eastAsia="楷体" w:cs="楷体_GB2312"/>
          <w:b/>
          <w:color w:val="000000"/>
          <w:sz w:val="32"/>
          <w:szCs w:val="32"/>
        </w:rPr>
        <w:t>（一）围绕党性宗旨教育，开展“话廉洁、守初心”专题研讨学习。</w:t>
      </w:r>
      <w:r>
        <w:rPr>
          <w:rFonts w:hint="eastAsia" w:ascii="仿宋_GB2312" w:hAnsi="宋体" w:eastAsia="仿宋_GB2312" w:cs="宋体"/>
          <w:color w:val="000000"/>
          <w:sz w:val="32"/>
          <w:szCs w:val="32"/>
        </w:rPr>
        <w:t>各级党组织要着眼于强化党员意识和党性宗旨，以理论中心组学习、专题培训、学习研讨等形式，有针对性地加强对党员的党性宗旨教育，引导党员筑牢理想信念之魂，不忘初心、牢记使命，时刻保持政治上的清醒坚定。学习结束后，副科级以上干部每人写一篇心得体会（不少于1500字），报校区党工委。个人完成心得体会的情况，将录入干部的个人电子廉政档案。</w:t>
      </w:r>
    </w:p>
    <w:p>
      <w:pPr>
        <w:spacing w:line="560" w:lineRule="exact"/>
        <w:ind w:firstLine="643" w:firstLineChars="200"/>
        <w:rPr>
          <w:rFonts w:ascii="仿宋_GB2312" w:hAnsi="宋体" w:eastAsia="仿宋_GB2312" w:cs="宋体"/>
          <w:color w:val="000000"/>
          <w:sz w:val="32"/>
          <w:szCs w:val="32"/>
        </w:rPr>
      </w:pPr>
      <w:r>
        <w:rPr>
          <w:rFonts w:hint="eastAsia" w:ascii="楷体" w:hAnsi="楷体" w:eastAsia="楷体" w:cs="楷体_GB2312"/>
          <w:b/>
          <w:color w:val="000000"/>
          <w:sz w:val="32"/>
          <w:szCs w:val="32"/>
        </w:rPr>
        <w:t>（二）围绕党章党规党纪教育，开展“知廉洁、严纪律”党纪法规知识学习和自测活动。</w:t>
      </w:r>
      <w:r>
        <w:rPr>
          <w:rFonts w:hint="eastAsia" w:ascii="仿宋_GB2312" w:hAnsi="宋体" w:eastAsia="仿宋_GB2312" w:cs="宋体"/>
          <w:color w:val="000000"/>
          <w:sz w:val="32"/>
          <w:szCs w:val="32"/>
        </w:rPr>
        <w:t>各级党组织要着眼于强化党章意识和党规党纪意识，组织广大党员认真学习党章党规党纪、自觉遵守党章党规党纪、坚决维护党章党规党纪。学习结束后，由各级党组织依托“共产党员”网等网络平台和其他学习载体，自行组织开展知识自测活动。</w:t>
      </w:r>
    </w:p>
    <w:p>
      <w:pPr>
        <w:spacing w:line="560" w:lineRule="exact"/>
        <w:ind w:firstLine="643" w:firstLineChars="200"/>
        <w:rPr>
          <w:rFonts w:ascii="仿宋_GB2312" w:hAnsi="宋体" w:eastAsia="仿宋_GB2312" w:cs="宋体"/>
          <w:color w:val="000000"/>
          <w:sz w:val="32"/>
          <w:szCs w:val="32"/>
        </w:rPr>
      </w:pPr>
      <w:r>
        <w:rPr>
          <w:rFonts w:hint="eastAsia" w:ascii="楷体" w:hAnsi="楷体" w:eastAsia="楷体" w:cs="楷体_GB2312"/>
          <w:b/>
          <w:color w:val="000000"/>
          <w:sz w:val="32"/>
          <w:szCs w:val="32"/>
        </w:rPr>
        <w:t>（三）围绕示范教育和警示教育，开展“思廉洁、勇担当”正反面典型教育。</w:t>
      </w:r>
      <w:r>
        <w:rPr>
          <w:rFonts w:hint="eastAsia" w:ascii="仿宋_GB2312" w:hAnsi="宋体" w:eastAsia="仿宋_GB2312" w:cs="宋体"/>
          <w:color w:val="000000"/>
          <w:sz w:val="32"/>
          <w:szCs w:val="32"/>
        </w:rPr>
        <w:t>一方面，强化正面示范教育，积极挖掘教育领域涌现出的模范代表及其先进事迹，通过组织专题报告会、系列报道、主题演讲等形式，积极弘扬社会正能量，切实增强教师的职业荣誉感、责任感和使命感。另一方面，强化反面警示教育，通过组织学习中央纪委国家监委网站等网络平台通报剖析的典型案例、集体观看上级摄制的警示教育片等形式，召开警示教育会，增强警示效果，引导重点部门、重点岗位工作人员自觉在思想上划红线、在行动上明界线，真正做到敬法畏法、遵规守矩、廉政勤政。</w:t>
      </w:r>
    </w:p>
    <w:p>
      <w:pPr>
        <w:spacing w:line="560" w:lineRule="exact"/>
        <w:ind w:firstLine="643" w:firstLineChars="200"/>
        <w:rPr>
          <w:rFonts w:ascii="仿宋_GB2312" w:hAnsi="宋体" w:eastAsia="仿宋_GB2312" w:cs="宋体"/>
          <w:color w:val="000000"/>
          <w:sz w:val="32"/>
          <w:szCs w:val="32"/>
        </w:rPr>
      </w:pPr>
      <w:r>
        <w:rPr>
          <w:rFonts w:hint="eastAsia" w:ascii="楷体" w:hAnsi="楷体" w:eastAsia="楷体" w:cs="楷体_GB2312"/>
          <w:b/>
          <w:color w:val="000000"/>
          <w:sz w:val="32"/>
          <w:szCs w:val="32"/>
        </w:rPr>
        <w:t>（四）围绕职业纪律规范，开展“倡廉洁、践使命”廉洁从业、从教主题党日活动。</w:t>
      </w:r>
      <w:r>
        <w:rPr>
          <w:rFonts w:hint="eastAsia" w:ascii="仿宋_GB2312" w:hAnsi="宋体" w:eastAsia="仿宋_GB2312" w:cs="宋体"/>
          <w:color w:val="000000"/>
          <w:sz w:val="32"/>
          <w:szCs w:val="32"/>
        </w:rPr>
        <w:t xml:space="preserve">深入开展以勤廉敬业为主题的支部党日活动。规范从业、从教行为和道德操守，提高教职工的职业道德修养和廉洁自律意识，引导教职工积极弘扬社会主义核心价值观，自觉遵守社会公德、职业道德和家庭美德，推进师德师风和教学教风建设；规范学术行为，端正学术风气，加强学术道德规范和诚实守信教育，加大对教师特别是学术带头人、科研项目负责人、评审专家等人员的教育引导，不断净化优化教书育人环境，为学校“双一流”、高水平大学建设作出积极贡献。 </w:t>
      </w:r>
    </w:p>
    <w:p>
      <w:pPr>
        <w:spacing w:line="560" w:lineRule="exact"/>
        <w:ind w:firstLine="640" w:firstLineChars="200"/>
        <w:rPr>
          <w:rFonts w:ascii="黑体" w:hAnsi="黑体" w:eastAsia="黑体" w:cs="宋体"/>
          <w:color w:val="000000"/>
          <w:sz w:val="32"/>
          <w:szCs w:val="32"/>
        </w:rPr>
      </w:pPr>
      <w:r>
        <w:rPr>
          <w:rFonts w:hint="eastAsia" w:ascii="黑体" w:hAnsi="黑体" w:eastAsia="黑体" w:cs="宋体"/>
          <w:color w:val="000000"/>
          <w:sz w:val="32"/>
          <w:szCs w:val="32"/>
        </w:rPr>
        <w:t>五、工作要求</w:t>
      </w:r>
    </w:p>
    <w:p>
      <w:pPr>
        <w:spacing w:line="560" w:lineRule="exact"/>
        <w:ind w:firstLine="643" w:firstLineChars="200"/>
        <w:rPr>
          <w:rFonts w:ascii="仿宋_GB2312" w:hAnsi="宋体" w:eastAsia="仿宋_GB2312" w:cs="宋体"/>
          <w:color w:val="000000"/>
          <w:sz w:val="32"/>
          <w:szCs w:val="32"/>
        </w:rPr>
      </w:pPr>
      <w:r>
        <w:rPr>
          <w:rFonts w:hint="eastAsia" w:ascii="楷体" w:hAnsi="楷体" w:eastAsia="楷体" w:cs="楷体_GB2312"/>
          <w:b/>
          <w:color w:val="000000"/>
          <w:sz w:val="32"/>
          <w:szCs w:val="32"/>
        </w:rPr>
        <w:t>（一）加强组织领导，落实责任分工。</w:t>
      </w:r>
      <w:r>
        <w:rPr>
          <w:rFonts w:hint="eastAsia" w:ascii="仿宋_GB2312" w:hAnsi="宋体" w:eastAsia="仿宋_GB2312" w:cs="宋体"/>
          <w:color w:val="000000"/>
          <w:sz w:val="32"/>
          <w:szCs w:val="32"/>
        </w:rPr>
        <w:t>校区各级党组织要切实担负起全面从严治党主体责任，把纪律教育与当前各项工作同部署、同推进、同落实；党政“一把手”要发挥示范带动作用，亲自研究部署纪律教育重要问题，带头参加纪律教育活动；其他领导班子成员要以身作则，率先垂范，做到言传身教。校区纪委协助抓好纪律教育学习工作，加强督促检查，推动纪律教育各项落实到位。</w:t>
      </w:r>
    </w:p>
    <w:p>
      <w:pPr>
        <w:spacing w:line="560" w:lineRule="exact"/>
        <w:ind w:firstLine="643" w:firstLineChars="200"/>
        <w:rPr>
          <w:rFonts w:ascii="仿宋_GB2312" w:hAnsi="宋体" w:eastAsia="仿宋_GB2312" w:cs="宋体"/>
          <w:color w:val="000000"/>
          <w:sz w:val="32"/>
          <w:szCs w:val="32"/>
        </w:rPr>
      </w:pPr>
      <w:r>
        <w:rPr>
          <w:rFonts w:hint="eastAsia" w:ascii="楷体" w:hAnsi="楷体" w:eastAsia="楷体" w:cs="楷体_GB2312"/>
          <w:b/>
          <w:color w:val="000000"/>
          <w:sz w:val="32"/>
          <w:szCs w:val="32"/>
        </w:rPr>
        <w:t>（二）务求教育实效，确保任务落实。</w:t>
      </w:r>
      <w:r>
        <w:rPr>
          <w:rFonts w:hint="eastAsia" w:ascii="仿宋_GB2312" w:hAnsi="宋体" w:eastAsia="仿宋_GB2312" w:cs="宋体"/>
          <w:color w:val="000000"/>
          <w:sz w:val="32"/>
          <w:szCs w:val="32"/>
        </w:rPr>
        <w:t>各级党组织要紧密结合实际，采取有效方式方法，增强学习教育的针对性和实效性，切忌“上下一般粗”，坚决防止形式主义；要把专题学习与改进工作、解决实际问题结合起来，开展对照检查，把发现问题、整改问题贯穿纪律教育全过程；要及时发现和总结在开展纪律教育学习月活动中的宝贵经验，积极转化为理论研究新成果或制度创新，推进校区党风廉政建设工作科学化、制度化发展。</w:t>
      </w:r>
    </w:p>
    <w:p>
      <w:pPr>
        <w:spacing w:line="560" w:lineRule="exact"/>
        <w:ind w:firstLine="643" w:firstLineChars="200"/>
        <w:rPr>
          <w:rFonts w:ascii="仿宋_GB2312" w:hAnsi="宋体" w:eastAsia="仿宋_GB2312" w:cs="宋体"/>
          <w:color w:val="000000" w:themeColor="text1"/>
          <w:sz w:val="32"/>
          <w:szCs w:val="32"/>
        </w:rPr>
      </w:pPr>
      <w:r>
        <w:rPr>
          <w:rFonts w:hint="eastAsia" w:ascii="楷体" w:hAnsi="楷体" w:eastAsia="楷体" w:cs="楷体_GB2312"/>
          <w:b/>
          <w:color w:val="000000"/>
          <w:sz w:val="32"/>
          <w:szCs w:val="32"/>
        </w:rPr>
        <w:t>（三）做好宣传总结，强化检查督促。</w:t>
      </w:r>
      <w:r>
        <w:rPr>
          <w:rFonts w:hint="eastAsia" w:ascii="仿宋_GB2312" w:hAnsi="宋体" w:eastAsia="仿宋_GB2312" w:cs="宋体"/>
          <w:color w:val="000000"/>
          <w:sz w:val="32"/>
          <w:szCs w:val="32"/>
        </w:rPr>
        <w:t>各级党组织要积极探索新时代、新形势下推进纪律教育学习活动的新方法、新途径，充分利用网页网站、微信公众号等新媒介载体对活动进行宣传，切实增强纪律教育学习活动的感召力和影响力。纪律教育学习月活动期间，校区纪律教育学习月活动领导小组将在“暨南大学珠海校区”微信公众号开辟专栏，请各</w:t>
      </w:r>
      <w:r>
        <w:rPr>
          <w:rFonts w:hint="eastAsia" w:ascii="仿宋_GB2312" w:eastAsia="仿宋_GB2312"/>
          <w:color w:val="000000"/>
          <w:sz w:val="32"/>
          <w:szCs w:val="32"/>
        </w:rPr>
        <w:t>级党组织</w:t>
      </w:r>
      <w:r>
        <w:rPr>
          <w:rFonts w:hint="eastAsia" w:ascii="仿宋_GB2312" w:hAnsi="宋体" w:eastAsia="仿宋_GB2312" w:cs="宋体"/>
          <w:color w:val="000000"/>
          <w:sz w:val="32"/>
          <w:szCs w:val="32"/>
        </w:rPr>
        <w:t>积极投稿（投稿邮箱：</w:t>
      </w:r>
      <w:r>
        <w:rPr>
          <w:rFonts w:hint="eastAsia" w:ascii="仿宋_GB2312" w:hAnsi="宋体" w:eastAsia="仿宋_GB2312" w:cs="宋体"/>
          <w:color w:val="000000" w:themeColor="text1"/>
          <w:sz w:val="32"/>
          <w:szCs w:val="32"/>
        </w:rPr>
        <w:t xml:space="preserve"> </w:t>
      </w:r>
      <w:r>
        <w:fldChar w:fldCharType="begin"/>
      </w:r>
      <w:r>
        <w:instrText xml:space="preserve"> HYPERLINK "mailto:jnzh@jnu.edu.cn" </w:instrText>
      </w:r>
      <w:r>
        <w:fldChar w:fldCharType="separate"/>
      </w:r>
      <w:r>
        <w:rPr>
          <w:rStyle w:val="7"/>
          <w:rFonts w:hint="eastAsia" w:ascii="仿宋_GB2312" w:hAnsi="宋体" w:eastAsia="仿宋_GB2312" w:cs="宋体"/>
          <w:color w:val="000000" w:themeColor="text1"/>
          <w:sz w:val="32"/>
          <w:szCs w:val="32"/>
        </w:rPr>
        <w:t>jnzh@jnu.edu.cn</w:t>
      </w:r>
      <w:r>
        <w:rPr>
          <w:rStyle w:val="7"/>
          <w:rFonts w:hint="eastAsia" w:ascii="仿宋_GB2312" w:hAnsi="宋体" w:eastAsia="仿宋_GB2312" w:cs="宋体"/>
          <w:color w:val="000000" w:themeColor="text1"/>
          <w:sz w:val="32"/>
          <w:szCs w:val="32"/>
        </w:rPr>
        <w:fldChar w:fldCharType="end"/>
      </w:r>
      <w:r>
        <w:rPr>
          <w:rFonts w:hint="eastAsia" w:ascii="仿宋_GB2312" w:hAnsi="宋体" w:eastAsia="仿宋_GB2312" w:cs="宋体"/>
          <w:color w:val="000000" w:themeColor="text1"/>
          <w:sz w:val="32"/>
          <w:szCs w:val="32"/>
        </w:rPr>
        <w:t>），校区将对各级党组织的相关活动和宝贵经验进行宣传报道和大力推广。</w:t>
      </w:r>
    </w:p>
    <w:p>
      <w:pPr>
        <w:spacing w:line="560" w:lineRule="exact"/>
        <w:rPr>
          <w:rFonts w:ascii="仿宋_GB2312" w:eastAsia="仿宋_GB2312"/>
          <w:color w:val="000000"/>
          <w:sz w:val="32"/>
          <w:szCs w:val="32"/>
        </w:rPr>
      </w:pPr>
    </w:p>
    <w:p>
      <w:pPr>
        <w:spacing w:line="560" w:lineRule="exact"/>
        <w:ind w:firstLine="320" w:firstLineChars="100"/>
        <w:rPr>
          <w:rFonts w:ascii="仿宋_GB2312" w:eastAsia="仿宋_GB2312"/>
          <w:color w:val="000000"/>
          <w:sz w:val="32"/>
          <w:szCs w:val="32"/>
        </w:rPr>
      </w:pPr>
      <w:r>
        <w:rPr>
          <w:rFonts w:hint="eastAsia" w:ascii="仿宋_GB2312" w:eastAsia="仿宋_GB2312"/>
          <w:color w:val="000000"/>
          <w:sz w:val="32"/>
          <w:szCs w:val="32"/>
        </w:rPr>
        <w:t>附件1：2020年珠海校区纪律教育学习月活动安排表</w:t>
      </w:r>
    </w:p>
    <w:tbl>
      <w:tblPr>
        <w:tblStyle w:val="4"/>
        <w:tblW w:w="9134" w:type="dxa"/>
        <w:jc w:val="center"/>
        <w:tblLayout w:type="autofit"/>
        <w:tblCellMar>
          <w:top w:w="0" w:type="dxa"/>
          <w:left w:w="28" w:type="dxa"/>
          <w:bottom w:w="0" w:type="dxa"/>
          <w:right w:w="28" w:type="dxa"/>
        </w:tblCellMar>
      </w:tblPr>
      <w:tblGrid>
        <w:gridCol w:w="1410"/>
        <w:gridCol w:w="2184"/>
        <w:gridCol w:w="3020"/>
        <w:gridCol w:w="2520"/>
      </w:tblGrid>
      <w:tr>
        <w:tblPrEx>
          <w:tblCellMar>
            <w:top w:w="0" w:type="dxa"/>
            <w:left w:w="28" w:type="dxa"/>
            <w:bottom w:w="0" w:type="dxa"/>
            <w:right w:w="28" w:type="dxa"/>
          </w:tblCellMar>
        </w:tblPrEx>
        <w:trPr>
          <w:trHeight w:val="635" w:hRule="atLeast"/>
          <w:jc w:val="center"/>
        </w:trPr>
        <w:tc>
          <w:tcPr>
            <w:tcW w:w="1410"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仿宋" w:hAnsi="仿宋" w:eastAsia="仿宋"/>
                <w:b/>
                <w:bCs/>
                <w:sz w:val="28"/>
                <w:szCs w:val="28"/>
                <w:lang w:val="zh-CN"/>
              </w:rPr>
            </w:pPr>
            <w:r>
              <w:rPr>
                <w:rFonts w:hint="eastAsia" w:ascii="仿宋" w:hAnsi="仿宋" w:eastAsia="仿宋"/>
                <w:b/>
                <w:bCs/>
                <w:sz w:val="28"/>
                <w:szCs w:val="28"/>
                <w:lang w:val="zh-CN"/>
              </w:rPr>
              <w:t>时  间</w:t>
            </w:r>
          </w:p>
        </w:tc>
        <w:tc>
          <w:tcPr>
            <w:tcW w:w="2184"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仿宋" w:hAnsi="仿宋" w:eastAsia="仿宋"/>
                <w:b/>
                <w:bCs/>
                <w:sz w:val="28"/>
                <w:szCs w:val="28"/>
                <w:lang w:val="zh-CN"/>
              </w:rPr>
            </w:pPr>
            <w:r>
              <w:rPr>
                <w:rFonts w:hint="eastAsia" w:ascii="仿宋" w:hAnsi="仿宋" w:eastAsia="仿宋"/>
                <w:b/>
                <w:bCs/>
                <w:sz w:val="28"/>
                <w:szCs w:val="28"/>
                <w:lang w:val="zh-CN"/>
              </w:rPr>
              <w:t>内  容</w:t>
            </w:r>
          </w:p>
        </w:tc>
        <w:tc>
          <w:tcPr>
            <w:tcW w:w="3020"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仿宋" w:hAnsi="仿宋" w:eastAsia="仿宋"/>
                <w:b/>
                <w:bCs/>
                <w:sz w:val="28"/>
                <w:szCs w:val="28"/>
                <w:lang w:val="zh-CN"/>
              </w:rPr>
            </w:pPr>
            <w:r>
              <w:rPr>
                <w:rFonts w:hint="eastAsia" w:ascii="仿宋" w:hAnsi="仿宋" w:eastAsia="仿宋"/>
                <w:b/>
                <w:bCs/>
                <w:sz w:val="28"/>
                <w:szCs w:val="28"/>
                <w:lang w:val="zh-CN"/>
              </w:rPr>
              <w:t>安  排</w:t>
            </w:r>
          </w:p>
        </w:tc>
        <w:tc>
          <w:tcPr>
            <w:tcW w:w="2520"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仿宋" w:hAnsi="仿宋" w:eastAsia="仿宋"/>
                <w:b/>
                <w:bCs/>
                <w:sz w:val="28"/>
                <w:szCs w:val="28"/>
                <w:lang w:val="zh-CN"/>
              </w:rPr>
            </w:pPr>
            <w:r>
              <w:rPr>
                <w:rFonts w:hint="eastAsia" w:ascii="仿宋" w:hAnsi="仿宋" w:eastAsia="仿宋"/>
                <w:b/>
                <w:bCs/>
                <w:sz w:val="28"/>
                <w:szCs w:val="28"/>
                <w:lang w:val="zh-CN"/>
              </w:rPr>
              <w:t>备  注</w:t>
            </w:r>
          </w:p>
        </w:tc>
      </w:tr>
      <w:tr>
        <w:tblPrEx>
          <w:tblCellMar>
            <w:top w:w="0" w:type="dxa"/>
            <w:left w:w="28" w:type="dxa"/>
            <w:bottom w:w="0" w:type="dxa"/>
            <w:right w:w="28" w:type="dxa"/>
          </w:tblCellMar>
        </w:tblPrEx>
        <w:trPr>
          <w:trHeight w:val="789" w:hRule="atLeast"/>
          <w:jc w:val="center"/>
        </w:trPr>
        <w:tc>
          <w:tcPr>
            <w:tcW w:w="1410" w:type="dxa"/>
            <w:tcBorders>
              <w:top w:val="single" w:color="auto" w:sz="4" w:space="0"/>
              <w:left w:val="single" w:color="auto" w:sz="6" w:space="0"/>
              <w:bottom w:val="single" w:color="auto" w:sz="6" w:space="0"/>
              <w:right w:val="single" w:color="auto" w:sz="6" w:space="0"/>
            </w:tcBorders>
            <w:vAlign w:val="center"/>
          </w:tcPr>
          <w:p>
            <w:pPr>
              <w:adjustRightInd w:val="0"/>
              <w:snapToGrid w:val="0"/>
              <w:jc w:val="center"/>
              <w:rPr>
                <w:rFonts w:asciiTheme="majorEastAsia" w:hAnsiTheme="majorEastAsia" w:eastAsiaTheme="majorEastAsia"/>
                <w:b/>
                <w:szCs w:val="21"/>
                <w:lang w:val="zh-CN"/>
              </w:rPr>
            </w:pPr>
            <w:r>
              <w:rPr>
                <w:rFonts w:hint="eastAsia" w:asciiTheme="majorEastAsia" w:hAnsiTheme="majorEastAsia" w:eastAsiaTheme="majorEastAsia"/>
                <w:b/>
                <w:szCs w:val="21"/>
                <w:lang w:val="zh-CN"/>
              </w:rPr>
              <w:t>9月下旬</w:t>
            </w:r>
          </w:p>
        </w:tc>
        <w:tc>
          <w:tcPr>
            <w:tcW w:w="2184" w:type="dxa"/>
            <w:tcBorders>
              <w:top w:val="single" w:color="auto" w:sz="4" w:space="0"/>
              <w:left w:val="single" w:color="auto" w:sz="6" w:space="0"/>
              <w:bottom w:val="single" w:color="auto" w:sz="6" w:space="0"/>
              <w:right w:val="single" w:color="auto" w:sz="6" w:space="0"/>
            </w:tcBorders>
            <w:vAlign w:val="center"/>
          </w:tcPr>
          <w:p>
            <w:pPr>
              <w:adjustRightInd w:val="0"/>
              <w:snapToGrid w:val="0"/>
              <w:jc w:val="center"/>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党总支、支部学习会</w:t>
            </w:r>
          </w:p>
        </w:tc>
        <w:tc>
          <w:tcPr>
            <w:tcW w:w="3020" w:type="dxa"/>
            <w:tcBorders>
              <w:top w:val="single" w:color="auto" w:sz="4"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重点学习《习近平谈治国理政》第三卷，学习省委其他相关文件</w:t>
            </w:r>
          </w:p>
        </w:tc>
        <w:tc>
          <w:tcPr>
            <w:tcW w:w="2520" w:type="dxa"/>
            <w:tcBorders>
              <w:top w:val="single" w:color="auto" w:sz="4"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党组织委员、党员和非党员的单位领导参加</w:t>
            </w:r>
          </w:p>
        </w:tc>
      </w:tr>
      <w:tr>
        <w:tblPrEx>
          <w:tblCellMar>
            <w:top w:w="0" w:type="dxa"/>
            <w:left w:w="28" w:type="dxa"/>
            <w:bottom w:w="0" w:type="dxa"/>
            <w:right w:w="28" w:type="dxa"/>
          </w:tblCellMar>
        </w:tblPrEx>
        <w:trPr>
          <w:trHeight w:val="714" w:hRule="atLeast"/>
          <w:jc w:val="center"/>
        </w:trPr>
        <w:tc>
          <w:tcPr>
            <w:tcW w:w="1410"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Theme="majorEastAsia" w:hAnsiTheme="majorEastAsia" w:eastAsiaTheme="majorEastAsia"/>
                <w:b/>
                <w:szCs w:val="21"/>
                <w:lang w:val="zh-CN"/>
              </w:rPr>
            </w:pPr>
            <w:r>
              <w:rPr>
                <w:rFonts w:hint="eastAsia" w:asciiTheme="majorEastAsia" w:hAnsiTheme="majorEastAsia" w:eastAsiaTheme="majorEastAsia"/>
                <w:b/>
                <w:szCs w:val="21"/>
                <w:lang w:val="zh-CN"/>
              </w:rPr>
              <w:t>9月下旬</w:t>
            </w:r>
          </w:p>
        </w:tc>
        <w:tc>
          <w:tcPr>
            <w:tcW w:w="2184"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校区党工委常务副书记林晓灵作教育动员</w:t>
            </w:r>
          </w:p>
        </w:tc>
        <w:tc>
          <w:tcPr>
            <w:tcW w:w="3020"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部署校区纪律教育重要工作</w:t>
            </w:r>
          </w:p>
        </w:tc>
        <w:tc>
          <w:tcPr>
            <w:tcW w:w="2520"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全体教职工党员和非党员的单位领导参加</w:t>
            </w:r>
          </w:p>
        </w:tc>
      </w:tr>
      <w:tr>
        <w:tblPrEx>
          <w:tblCellMar>
            <w:top w:w="0" w:type="dxa"/>
            <w:left w:w="28" w:type="dxa"/>
            <w:bottom w:w="0" w:type="dxa"/>
            <w:right w:w="28" w:type="dxa"/>
          </w:tblCellMar>
        </w:tblPrEx>
        <w:trPr>
          <w:trHeight w:val="840" w:hRule="atLeast"/>
          <w:jc w:val="center"/>
        </w:trPr>
        <w:tc>
          <w:tcPr>
            <w:tcW w:w="1410"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Theme="majorEastAsia" w:hAnsiTheme="majorEastAsia" w:eastAsiaTheme="majorEastAsia"/>
                <w:b/>
                <w:szCs w:val="21"/>
                <w:lang w:val="zh-CN"/>
              </w:rPr>
            </w:pPr>
            <w:r>
              <w:rPr>
                <w:rFonts w:hint="eastAsia" w:asciiTheme="majorEastAsia" w:hAnsiTheme="majorEastAsia" w:eastAsiaTheme="majorEastAsia"/>
                <w:b/>
                <w:szCs w:val="21"/>
                <w:lang w:val="zh-CN"/>
              </w:rPr>
              <w:t>9月-10月</w:t>
            </w:r>
          </w:p>
        </w:tc>
        <w:tc>
          <w:tcPr>
            <w:tcW w:w="2184"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“话廉洁、守初心”专题研讨学习</w:t>
            </w:r>
          </w:p>
        </w:tc>
        <w:tc>
          <w:tcPr>
            <w:tcW w:w="3020"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理论中心组学习、专题培训、学习研讨等形式学习</w:t>
            </w:r>
          </w:p>
        </w:tc>
        <w:tc>
          <w:tcPr>
            <w:tcW w:w="2520"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各党总支自行组织</w:t>
            </w:r>
          </w:p>
        </w:tc>
      </w:tr>
      <w:tr>
        <w:tblPrEx>
          <w:tblCellMar>
            <w:top w:w="0" w:type="dxa"/>
            <w:left w:w="28" w:type="dxa"/>
            <w:bottom w:w="0" w:type="dxa"/>
            <w:right w:w="28" w:type="dxa"/>
          </w:tblCellMar>
        </w:tblPrEx>
        <w:trPr>
          <w:trHeight w:val="997" w:hRule="atLeast"/>
          <w:jc w:val="center"/>
        </w:trPr>
        <w:tc>
          <w:tcPr>
            <w:tcW w:w="1410"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Theme="majorEastAsia" w:hAnsiTheme="majorEastAsia" w:eastAsiaTheme="majorEastAsia"/>
                <w:b/>
                <w:szCs w:val="21"/>
                <w:lang w:val="zh-CN"/>
              </w:rPr>
            </w:pPr>
            <w:r>
              <w:rPr>
                <w:rFonts w:hint="eastAsia" w:asciiTheme="majorEastAsia" w:hAnsiTheme="majorEastAsia" w:eastAsiaTheme="majorEastAsia"/>
                <w:b/>
                <w:szCs w:val="21"/>
                <w:lang w:val="zh-CN"/>
              </w:rPr>
              <w:t>9月-10月</w:t>
            </w:r>
          </w:p>
        </w:tc>
        <w:tc>
          <w:tcPr>
            <w:tcW w:w="2184"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开展“知廉洁、严纪律”党纪法规学习和自测</w:t>
            </w:r>
          </w:p>
        </w:tc>
        <w:tc>
          <w:tcPr>
            <w:tcW w:w="3020"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各级党组织组织广大教职工党员认真学习、自觉遵守、坚决维护党章党规党纪</w:t>
            </w:r>
          </w:p>
        </w:tc>
        <w:tc>
          <w:tcPr>
            <w:tcW w:w="2520"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各级党组织依托网络平台和其他学习载体自行组织开展和自测活动</w:t>
            </w:r>
          </w:p>
        </w:tc>
      </w:tr>
      <w:tr>
        <w:tblPrEx>
          <w:tblCellMar>
            <w:top w:w="0" w:type="dxa"/>
            <w:left w:w="28" w:type="dxa"/>
            <w:bottom w:w="0" w:type="dxa"/>
            <w:right w:w="28" w:type="dxa"/>
          </w:tblCellMar>
        </w:tblPrEx>
        <w:trPr>
          <w:trHeight w:val="997" w:hRule="atLeast"/>
          <w:jc w:val="center"/>
        </w:trPr>
        <w:tc>
          <w:tcPr>
            <w:tcW w:w="1410"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Theme="majorEastAsia" w:hAnsiTheme="majorEastAsia" w:eastAsiaTheme="majorEastAsia"/>
                <w:b/>
                <w:szCs w:val="21"/>
                <w:lang w:val="zh-CN"/>
              </w:rPr>
            </w:pPr>
            <w:r>
              <w:rPr>
                <w:rFonts w:hint="eastAsia" w:asciiTheme="majorEastAsia" w:hAnsiTheme="majorEastAsia" w:eastAsiaTheme="majorEastAsia"/>
                <w:b/>
                <w:szCs w:val="21"/>
                <w:lang w:val="zh-CN"/>
              </w:rPr>
              <w:t>9月-10月</w:t>
            </w:r>
          </w:p>
        </w:tc>
        <w:tc>
          <w:tcPr>
            <w:tcW w:w="2184"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开展“倡廉洁、践使命”廉洁从业、从教主题党日活动</w:t>
            </w:r>
          </w:p>
        </w:tc>
        <w:tc>
          <w:tcPr>
            <w:tcW w:w="3020"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规范教职工职业道德和廉洁自律意识，弘扬社会主义核心价值观</w:t>
            </w:r>
          </w:p>
        </w:tc>
        <w:tc>
          <w:tcPr>
            <w:tcW w:w="2520"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各党组织依据实际工作特点，自行组织安排</w:t>
            </w:r>
          </w:p>
        </w:tc>
      </w:tr>
      <w:tr>
        <w:tblPrEx>
          <w:tblCellMar>
            <w:top w:w="0" w:type="dxa"/>
            <w:left w:w="28" w:type="dxa"/>
            <w:bottom w:w="0" w:type="dxa"/>
            <w:right w:w="28" w:type="dxa"/>
          </w:tblCellMar>
        </w:tblPrEx>
        <w:trPr>
          <w:trHeight w:val="753" w:hRule="atLeast"/>
          <w:jc w:val="center"/>
        </w:trPr>
        <w:tc>
          <w:tcPr>
            <w:tcW w:w="1410"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Theme="majorEastAsia" w:hAnsiTheme="majorEastAsia" w:eastAsiaTheme="majorEastAsia"/>
                <w:b/>
                <w:szCs w:val="21"/>
                <w:lang w:val="zh-CN"/>
              </w:rPr>
            </w:pPr>
            <w:r>
              <w:rPr>
                <w:rFonts w:hint="eastAsia" w:asciiTheme="majorEastAsia" w:hAnsiTheme="majorEastAsia" w:eastAsiaTheme="majorEastAsia"/>
                <w:b/>
                <w:szCs w:val="21"/>
                <w:lang w:val="zh-CN"/>
              </w:rPr>
              <w:t>9月-10月</w:t>
            </w:r>
          </w:p>
        </w:tc>
        <w:tc>
          <w:tcPr>
            <w:tcW w:w="2184"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推进校区管理科学化、制度化</w:t>
            </w:r>
          </w:p>
        </w:tc>
        <w:tc>
          <w:tcPr>
            <w:tcW w:w="3020"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梳理本单位负责的校区议事协调机构的相关文件，调整上报</w:t>
            </w:r>
          </w:p>
        </w:tc>
        <w:tc>
          <w:tcPr>
            <w:tcW w:w="2520"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机关及直属单位各部门</w:t>
            </w:r>
          </w:p>
        </w:tc>
      </w:tr>
      <w:tr>
        <w:tblPrEx>
          <w:tblCellMar>
            <w:top w:w="0" w:type="dxa"/>
            <w:left w:w="28" w:type="dxa"/>
            <w:bottom w:w="0" w:type="dxa"/>
            <w:right w:w="28" w:type="dxa"/>
          </w:tblCellMar>
        </w:tblPrEx>
        <w:trPr>
          <w:trHeight w:val="551" w:hRule="atLeast"/>
          <w:jc w:val="center"/>
        </w:trPr>
        <w:tc>
          <w:tcPr>
            <w:tcW w:w="1410"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Theme="majorEastAsia" w:hAnsiTheme="majorEastAsia" w:eastAsiaTheme="majorEastAsia"/>
                <w:b/>
                <w:szCs w:val="21"/>
                <w:lang w:val="zh-CN"/>
              </w:rPr>
            </w:pPr>
            <w:r>
              <w:rPr>
                <w:rFonts w:hint="eastAsia" w:asciiTheme="majorEastAsia" w:hAnsiTheme="majorEastAsia" w:eastAsiaTheme="majorEastAsia"/>
                <w:b/>
                <w:szCs w:val="21"/>
                <w:lang w:val="zh-CN"/>
              </w:rPr>
              <w:t>9月下旬</w:t>
            </w:r>
          </w:p>
        </w:tc>
        <w:tc>
          <w:tcPr>
            <w:tcW w:w="2184"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Theme="majorEastAsia" w:hAnsiTheme="majorEastAsia" w:eastAsiaTheme="majorEastAsia"/>
                <w:b/>
                <w:szCs w:val="21"/>
                <w:lang w:val="zh-CN"/>
              </w:rPr>
            </w:pPr>
            <w:r>
              <w:rPr>
                <w:rFonts w:hint="eastAsia" w:asciiTheme="majorEastAsia" w:hAnsiTheme="majorEastAsia" w:eastAsiaTheme="majorEastAsia"/>
                <w:b/>
                <w:szCs w:val="21"/>
                <w:lang w:val="zh-CN"/>
              </w:rPr>
              <w:t>观看纪律教育录像片</w:t>
            </w:r>
          </w:p>
        </w:tc>
        <w:tc>
          <w:tcPr>
            <w:tcW w:w="3020"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(另行通知)</w:t>
            </w:r>
          </w:p>
        </w:tc>
        <w:tc>
          <w:tcPr>
            <w:tcW w:w="2520"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Theme="majorEastAsia" w:hAnsiTheme="majorEastAsia" w:eastAsiaTheme="majorEastAsia"/>
                <w:b/>
                <w:szCs w:val="21"/>
                <w:lang w:val="zh-CN"/>
              </w:rPr>
            </w:pPr>
            <w:r>
              <w:rPr>
                <w:rFonts w:hint="eastAsia" w:asciiTheme="majorEastAsia" w:hAnsiTheme="majorEastAsia" w:eastAsiaTheme="majorEastAsia"/>
                <w:b/>
                <w:szCs w:val="21"/>
                <w:lang w:val="zh-CN"/>
              </w:rPr>
              <w:t>校区纪工委</w:t>
            </w:r>
          </w:p>
        </w:tc>
      </w:tr>
      <w:tr>
        <w:tblPrEx>
          <w:tblCellMar>
            <w:top w:w="0" w:type="dxa"/>
            <w:left w:w="28" w:type="dxa"/>
            <w:bottom w:w="0" w:type="dxa"/>
            <w:right w:w="28" w:type="dxa"/>
          </w:tblCellMar>
        </w:tblPrEx>
        <w:trPr>
          <w:trHeight w:val="1074" w:hRule="atLeast"/>
          <w:jc w:val="center"/>
        </w:trPr>
        <w:tc>
          <w:tcPr>
            <w:tcW w:w="1410"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Theme="majorEastAsia" w:hAnsiTheme="majorEastAsia" w:eastAsiaTheme="majorEastAsia"/>
                <w:b/>
                <w:szCs w:val="21"/>
              </w:rPr>
            </w:pPr>
            <w:r>
              <w:rPr>
                <w:rFonts w:hint="eastAsia" w:asciiTheme="majorEastAsia" w:hAnsiTheme="majorEastAsia" w:eastAsiaTheme="majorEastAsia"/>
                <w:b/>
                <w:szCs w:val="21"/>
                <w:lang w:val="zh-CN"/>
              </w:rPr>
              <w:t>9月-10月</w:t>
            </w:r>
          </w:p>
        </w:tc>
        <w:tc>
          <w:tcPr>
            <w:tcW w:w="2184"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党风廉政教育宣传专栏</w:t>
            </w:r>
          </w:p>
        </w:tc>
        <w:tc>
          <w:tcPr>
            <w:tcW w:w="3020"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宣传纪律教育学习月主题内容、正反典型，本单位学习、教育情况等内容</w:t>
            </w:r>
          </w:p>
        </w:tc>
        <w:tc>
          <w:tcPr>
            <w:tcW w:w="2520"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校区举办一期校区性的专栏，在网站、公众号等新媒体上宣传，各党总支在本单位内开辟专栏</w:t>
            </w:r>
          </w:p>
        </w:tc>
      </w:tr>
      <w:tr>
        <w:tblPrEx>
          <w:tblCellMar>
            <w:top w:w="0" w:type="dxa"/>
            <w:left w:w="28" w:type="dxa"/>
            <w:bottom w:w="0" w:type="dxa"/>
            <w:right w:w="28" w:type="dxa"/>
          </w:tblCellMar>
        </w:tblPrEx>
        <w:trPr>
          <w:trHeight w:val="1000" w:hRule="atLeast"/>
          <w:jc w:val="center"/>
        </w:trPr>
        <w:tc>
          <w:tcPr>
            <w:tcW w:w="1410"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Theme="majorEastAsia" w:hAnsiTheme="majorEastAsia" w:eastAsiaTheme="majorEastAsia"/>
                <w:b/>
                <w:szCs w:val="21"/>
              </w:rPr>
            </w:pPr>
            <w:r>
              <w:rPr>
                <w:rFonts w:hint="eastAsia" w:asciiTheme="majorEastAsia" w:hAnsiTheme="majorEastAsia" w:eastAsiaTheme="majorEastAsia"/>
                <w:b/>
                <w:szCs w:val="21"/>
                <w:lang w:val="zh-CN"/>
              </w:rPr>
              <w:t>9月-10月</w:t>
            </w:r>
          </w:p>
        </w:tc>
        <w:tc>
          <w:tcPr>
            <w:tcW w:w="2184" w:type="dxa"/>
            <w:tcBorders>
              <w:top w:val="single" w:color="auto" w:sz="6" w:space="0"/>
              <w:left w:val="single" w:color="auto" w:sz="4"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自查自纠，针对存在的问题，认真整改、总结</w:t>
            </w:r>
          </w:p>
        </w:tc>
        <w:tc>
          <w:tcPr>
            <w:tcW w:w="3020"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各单位自行组织，校区总结由纪工委完成</w:t>
            </w:r>
          </w:p>
        </w:tc>
        <w:tc>
          <w:tcPr>
            <w:tcW w:w="2520" w:type="dxa"/>
            <w:tcBorders>
              <w:top w:val="single" w:color="auto" w:sz="6" w:space="0"/>
              <w:left w:val="single" w:color="auto" w:sz="6" w:space="0"/>
              <w:bottom w:val="single" w:color="auto" w:sz="6" w:space="0"/>
              <w:right w:val="single" w:color="auto" w:sz="4"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各党总支按照文件要求及时报送信息和综合材料</w:t>
            </w:r>
          </w:p>
        </w:tc>
      </w:tr>
      <w:tr>
        <w:tblPrEx>
          <w:tblCellMar>
            <w:top w:w="0" w:type="dxa"/>
            <w:left w:w="28" w:type="dxa"/>
            <w:bottom w:w="0" w:type="dxa"/>
            <w:right w:w="28" w:type="dxa"/>
          </w:tblCellMar>
        </w:tblPrEx>
        <w:trPr>
          <w:trHeight w:val="703" w:hRule="atLeast"/>
          <w:jc w:val="center"/>
        </w:trPr>
        <w:tc>
          <w:tcPr>
            <w:tcW w:w="1410"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Theme="majorEastAsia" w:hAnsiTheme="majorEastAsia" w:eastAsiaTheme="majorEastAsia"/>
                <w:b/>
                <w:szCs w:val="21"/>
                <w:lang w:val="zh-CN"/>
              </w:rPr>
            </w:pPr>
            <w:r>
              <w:rPr>
                <w:rFonts w:hint="eastAsia" w:asciiTheme="majorEastAsia" w:hAnsiTheme="majorEastAsia" w:eastAsiaTheme="majorEastAsia"/>
                <w:b/>
                <w:szCs w:val="21"/>
                <w:lang w:val="zh-CN"/>
              </w:rPr>
              <w:t>9月中旬</w:t>
            </w:r>
          </w:p>
        </w:tc>
        <w:tc>
          <w:tcPr>
            <w:tcW w:w="2184" w:type="dxa"/>
            <w:tcBorders>
              <w:top w:val="single" w:color="auto" w:sz="6" w:space="0"/>
              <w:left w:val="single" w:color="auto" w:sz="4"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开展优秀师德典型的宣传活动</w:t>
            </w:r>
          </w:p>
        </w:tc>
        <w:tc>
          <w:tcPr>
            <w:tcW w:w="3020"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对校区首次校级荣誉奖项人员进行宣传报道</w:t>
            </w:r>
          </w:p>
        </w:tc>
        <w:tc>
          <w:tcPr>
            <w:tcW w:w="2520" w:type="dxa"/>
            <w:tcBorders>
              <w:top w:val="single" w:color="auto" w:sz="6" w:space="0"/>
              <w:left w:val="single" w:color="auto" w:sz="6" w:space="0"/>
              <w:bottom w:val="single" w:color="auto" w:sz="6" w:space="0"/>
              <w:right w:val="single" w:color="auto" w:sz="4" w:space="0"/>
            </w:tcBorders>
            <w:vAlign w:val="center"/>
          </w:tcPr>
          <w:p>
            <w:pPr>
              <w:adjustRightInd w:val="0"/>
              <w:snapToGrid w:val="0"/>
              <w:ind w:firstLine="843" w:firstLineChars="40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党政办</w:t>
            </w:r>
          </w:p>
        </w:tc>
      </w:tr>
      <w:tr>
        <w:tblPrEx>
          <w:tblCellMar>
            <w:top w:w="0" w:type="dxa"/>
            <w:left w:w="28" w:type="dxa"/>
            <w:bottom w:w="0" w:type="dxa"/>
            <w:right w:w="28" w:type="dxa"/>
          </w:tblCellMar>
        </w:tblPrEx>
        <w:trPr>
          <w:trHeight w:val="1020" w:hRule="atLeast"/>
          <w:jc w:val="center"/>
        </w:trPr>
        <w:tc>
          <w:tcPr>
            <w:tcW w:w="1410"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Theme="majorEastAsia" w:hAnsiTheme="majorEastAsia" w:eastAsiaTheme="majorEastAsia"/>
                <w:b/>
                <w:szCs w:val="21"/>
                <w:lang w:val="zh-CN"/>
              </w:rPr>
            </w:pPr>
            <w:r>
              <w:rPr>
                <w:rFonts w:hint="eastAsia" w:asciiTheme="majorEastAsia" w:hAnsiTheme="majorEastAsia" w:eastAsiaTheme="majorEastAsia"/>
                <w:b/>
                <w:szCs w:val="21"/>
                <w:lang w:val="zh-CN"/>
              </w:rPr>
              <w:t>9月-10月</w:t>
            </w:r>
          </w:p>
        </w:tc>
        <w:tc>
          <w:tcPr>
            <w:tcW w:w="2184" w:type="dxa"/>
            <w:tcBorders>
              <w:top w:val="single" w:color="auto" w:sz="6" w:space="0"/>
              <w:left w:val="single" w:color="auto" w:sz="4"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“淬炼师德师能，践行育人使命”主题征文</w:t>
            </w:r>
          </w:p>
        </w:tc>
        <w:tc>
          <w:tcPr>
            <w:tcW w:w="3020"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校区机关、各学院选送1篇征文，校区选送1个原创微视频</w:t>
            </w:r>
          </w:p>
        </w:tc>
        <w:tc>
          <w:tcPr>
            <w:tcW w:w="2520" w:type="dxa"/>
            <w:tcBorders>
              <w:top w:val="single" w:color="auto" w:sz="6" w:space="0"/>
              <w:left w:val="single" w:color="auto" w:sz="6" w:space="0"/>
              <w:bottom w:val="single" w:color="auto" w:sz="6" w:space="0"/>
              <w:right w:val="single" w:color="auto" w:sz="4"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各单位组织好本单位优秀作品的推荐工作，全体教职工参加</w:t>
            </w:r>
          </w:p>
        </w:tc>
      </w:tr>
      <w:tr>
        <w:tblPrEx>
          <w:tblCellMar>
            <w:top w:w="0" w:type="dxa"/>
            <w:left w:w="28" w:type="dxa"/>
            <w:bottom w:w="0" w:type="dxa"/>
            <w:right w:w="28" w:type="dxa"/>
          </w:tblCellMar>
        </w:tblPrEx>
        <w:trPr>
          <w:trHeight w:val="785" w:hRule="atLeast"/>
          <w:jc w:val="center"/>
        </w:trPr>
        <w:tc>
          <w:tcPr>
            <w:tcW w:w="1410"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Theme="majorEastAsia" w:hAnsiTheme="majorEastAsia" w:eastAsiaTheme="majorEastAsia"/>
                <w:b/>
                <w:szCs w:val="21"/>
                <w:lang w:val="zh-CN"/>
              </w:rPr>
            </w:pPr>
            <w:r>
              <w:rPr>
                <w:rFonts w:hint="eastAsia" w:asciiTheme="majorEastAsia" w:hAnsiTheme="majorEastAsia" w:eastAsiaTheme="majorEastAsia"/>
                <w:b/>
                <w:szCs w:val="21"/>
                <w:lang w:val="zh-CN"/>
              </w:rPr>
              <w:t>9月-11月</w:t>
            </w:r>
          </w:p>
        </w:tc>
        <w:tc>
          <w:tcPr>
            <w:tcW w:w="2184" w:type="dxa"/>
            <w:tcBorders>
              <w:top w:val="single" w:color="auto" w:sz="6" w:space="0"/>
              <w:left w:val="single" w:color="auto" w:sz="4"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开展师德师风教育专题线上培训</w:t>
            </w:r>
          </w:p>
        </w:tc>
        <w:tc>
          <w:tcPr>
            <w:tcW w:w="3020"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Theme="majorEastAsia" w:hAnsiTheme="majorEastAsia" w:eastAsiaTheme="majorEastAsia"/>
                <w:b/>
                <w:szCs w:val="21"/>
                <w:lang w:val="zh-CN"/>
              </w:rPr>
            </w:pPr>
            <w:r>
              <w:rPr>
                <w:rFonts w:hint="eastAsia" w:asciiTheme="majorEastAsia" w:hAnsiTheme="majorEastAsia" w:eastAsiaTheme="majorEastAsia"/>
                <w:b/>
                <w:szCs w:val="21"/>
                <w:lang w:val="zh-CN"/>
              </w:rPr>
              <w:t>采用远程网络学习专题内容</w:t>
            </w:r>
          </w:p>
        </w:tc>
        <w:tc>
          <w:tcPr>
            <w:tcW w:w="2520"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全体专任教师参加</w:t>
            </w:r>
          </w:p>
        </w:tc>
      </w:tr>
      <w:tr>
        <w:tblPrEx>
          <w:tblCellMar>
            <w:top w:w="0" w:type="dxa"/>
            <w:left w:w="28" w:type="dxa"/>
            <w:bottom w:w="0" w:type="dxa"/>
            <w:right w:w="28" w:type="dxa"/>
          </w:tblCellMar>
        </w:tblPrEx>
        <w:trPr>
          <w:trHeight w:val="901" w:hRule="atLeast"/>
          <w:jc w:val="center"/>
        </w:trPr>
        <w:tc>
          <w:tcPr>
            <w:tcW w:w="1410"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Theme="majorEastAsia" w:hAnsiTheme="majorEastAsia" w:eastAsiaTheme="majorEastAsia"/>
                <w:b/>
                <w:szCs w:val="21"/>
                <w:lang w:val="zh-CN"/>
              </w:rPr>
            </w:pPr>
            <w:r>
              <w:rPr>
                <w:rFonts w:hint="eastAsia" w:asciiTheme="majorEastAsia" w:hAnsiTheme="majorEastAsia" w:eastAsiaTheme="majorEastAsia"/>
                <w:b/>
                <w:szCs w:val="21"/>
                <w:lang w:val="zh-CN"/>
              </w:rPr>
              <w:t>9月-12月</w:t>
            </w:r>
          </w:p>
        </w:tc>
        <w:tc>
          <w:tcPr>
            <w:tcW w:w="2184" w:type="dxa"/>
            <w:tcBorders>
              <w:top w:val="single" w:color="auto" w:sz="6" w:space="0"/>
              <w:left w:val="single" w:color="auto" w:sz="4"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召开师德师风经验交流会</w:t>
            </w:r>
          </w:p>
        </w:tc>
        <w:tc>
          <w:tcPr>
            <w:tcW w:w="3020" w:type="dxa"/>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开展覆盖面广、实效性强的师德师风建设经验交流和学习</w:t>
            </w:r>
          </w:p>
        </w:tc>
        <w:tc>
          <w:tcPr>
            <w:tcW w:w="2520" w:type="dxa"/>
            <w:tcBorders>
              <w:top w:val="single" w:color="auto" w:sz="6" w:space="0"/>
              <w:left w:val="single" w:color="auto" w:sz="6" w:space="0"/>
              <w:bottom w:val="single" w:color="auto" w:sz="6" w:space="0"/>
              <w:right w:val="single" w:color="auto" w:sz="4" w:space="0"/>
            </w:tcBorders>
            <w:vAlign w:val="center"/>
          </w:tcPr>
          <w:p>
            <w:pPr>
              <w:adjustRightInd w:val="0"/>
              <w:snapToGrid w:val="0"/>
              <w:rPr>
                <w:rFonts w:asciiTheme="majorEastAsia" w:hAnsiTheme="majorEastAsia" w:eastAsiaTheme="majorEastAsia"/>
                <w:b/>
                <w:szCs w:val="21"/>
                <w:lang w:val="zh-CN"/>
              </w:rPr>
            </w:pPr>
            <w:r>
              <w:rPr>
                <w:rFonts w:hint="eastAsia" w:asciiTheme="majorEastAsia" w:hAnsiTheme="majorEastAsia" w:eastAsiaTheme="majorEastAsia"/>
                <w:b/>
                <w:szCs w:val="21"/>
                <w:lang w:val="zh-CN"/>
              </w:rPr>
              <w:t>各级党组织、本单位教职工</w:t>
            </w:r>
          </w:p>
        </w:tc>
      </w:tr>
    </w:tbl>
    <w:p>
      <w:pPr>
        <w:spacing w:line="560" w:lineRule="exact"/>
        <w:rPr>
          <w:rFonts w:ascii="黑体" w:hAnsi="黑体" w:eastAsia="黑体" w:cs="宋体"/>
          <w:color w:val="000000"/>
          <w:sz w:val="32"/>
        </w:rPr>
      </w:pPr>
      <w:r>
        <w:rPr>
          <w:rFonts w:ascii="仿宋_GB2312" w:eastAsia="仿宋_GB2312"/>
          <w:color w:val="000000"/>
          <w:sz w:val="28"/>
        </w:rPr>
        <w:br w:type="page"/>
      </w:r>
      <w:r>
        <w:rPr>
          <w:rFonts w:hint="eastAsia" w:ascii="黑体" w:hAnsi="黑体" w:eastAsia="黑体" w:cs="宋体"/>
          <w:color w:val="000000"/>
          <w:sz w:val="32"/>
        </w:rPr>
        <w:t>附件2：</w:t>
      </w:r>
      <w:r>
        <w:rPr>
          <w:rFonts w:hint="eastAsia" w:ascii="仿宋_GB2312" w:eastAsia="仿宋_GB2312"/>
          <w:color w:val="000000"/>
          <w:sz w:val="32"/>
          <w:szCs w:val="32"/>
        </w:rPr>
        <w:t>2020年珠海校区纪律教育学习月活动情况统计表</w:t>
      </w:r>
    </w:p>
    <w:p>
      <w:pPr>
        <w:spacing w:line="560" w:lineRule="exact"/>
        <w:rPr>
          <w:rFonts w:ascii="仿宋_GB2312" w:hAnsi="宋体" w:eastAsia="仿宋_GB2312" w:cs="宋体"/>
          <w:color w:val="000000"/>
          <w:sz w:val="28"/>
        </w:rPr>
      </w:pPr>
      <w:r>
        <w:rPr>
          <w:rFonts w:hint="eastAsia"/>
        </w:rPr>
        <w:t xml:space="preserve">   </w:t>
      </w:r>
      <w:r>
        <w:rPr>
          <w:rFonts w:hint="eastAsia" w:ascii="仿宋_GB2312" w:hAnsi="宋体" w:eastAsia="仿宋_GB2312" w:cs="宋体"/>
          <w:color w:val="000000"/>
          <w:sz w:val="28"/>
        </w:rPr>
        <w:t xml:space="preserve">填报单位（盖章）： </w:t>
      </w:r>
      <w:r>
        <w:rPr>
          <w:rFonts w:ascii="仿宋_GB2312" w:hAnsi="宋体" w:eastAsia="仿宋_GB2312" w:cs="宋体"/>
          <w:color w:val="000000"/>
          <w:sz w:val="28"/>
        </w:rPr>
        <w:t xml:space="preserve">               </w:t>
      </w:r>
      <w:r>
        <w:rPr>
          <w:rFonts w:hint="eastAsia" w:ascii="仿宋_GB2312" w:hAnsi="宋体" w:eastAsia="仿宋_GB2312" w:cs="宋体"/>
          <w:color w:val="000000"/>
          <w:sz w:val="28"/>
        </w:rPr>
        <w:t>填报时间：2</w:t>
      </w:r>
      <w:r>
        <w:rPr>
          <w:rFonts w:ascii="仿宋_GB2312" w:hAnsi="宋体" w:eastAsia="仿宋_GB2312" w:cs="宋体"/>
          <w:color w:val="000000"/>
          <w:sz w:val="28"/>
        </w:rPr>
        <w:t>020</w:t>
      </w:r>
      <w:r>
        <w:rPr>
          <w:rFonts w:hint="eastAsia" w:ascii="仿宋_GB2312" w:hAnsi="宋体" w:eastAsia="仿宋_GB2312" w:cs="宋体"/>
          <w:color w:val="000000"/>
          <w:sz w:val="28"/>
        </w:rPr>
        <w:t xml:space="preserve">年 </w:t>
      </w:r>
      <w:r>
        <w:rPr>
          <w:rFonts w:ascii="仿宋_GB2312" w:hAnsi="宋体" w:eastAsia="仿宋_GB2312" w:cs="宋体"/>
          <w:color w:val="000000"/>
          <w:sz w:val="28"/>
        </w:rPr>
        <w:t xml:space="preserve"> </w:t>
      </w:r>
      <w:r>
        <w:rPr>
          <w:rFonts w:hint="eastAsia" w:ascii="仿宋_GB2312" w:hAnsi="宋体" w:eastAsia="仿宋_GB2312" w:cs="宋体"/>
          <w:color w:val="000000"/>
          <w:sz w:val="28"/>
        </w:rPr>
        <w:t xml:space="preserve">月 </w:t>
      </w:r>
      <w:r>
        <w:rPr>
          <w:rFonts w:ascii="仿宋_GB2312" w:hAnsi="宋体" w:eastAsia="仿宋_GB2312" w:cs="宋体"/>
          <w:color w:val="000000"/>
          <w:sz w:val="28"/>
        </w:rPr>
        <w:t xml:space="preserve"> </w:t>
      </w:r>
      <w:r>
        <w:rPr>
          <w:rFonts w:hint="eastAsia" w:ascii="仿宋_GB2312" w:hAnsi="宋体" w:eastAsia="仿宋_GB2312" w:cs="宋体"/>
          <w:color w:val="000000"/>
          <w:sz w:val="28"/>
        </w:rPr>
        <w:t>日</w:t>
      </w:r>
    </w:p>
    <w:tbl>
      <w:tblPr>
        <w:tblStyle w:val="4"/>
        <w:tblW w:w="491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1"/>
        <w:gridCol w:w="491"/>
        <w:gridCol w:w="497"/>
        <w:gridCol w:w="491"/>
        <w:gridCol w:w="494"/>
        <w:gridCol w:w="490"/>
        <w:gridCol w:w="490"/>
        <w:gridCol w:w="490"/>
        <w:gridCol w:w="490"/>
        <w:gridCol w:w="490"/>
        <w:gridCol w:w="490"/>
        <w:gridCol w:w="490"/>
        <w:gridCol w:w="504"/>
        <w:gridCol w:w="492"/>
        <w:gridCol w:w="492"/>
        <w:gridCol w:w="492"/>
        <w:gridCol w:w="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882" w:type="pct"/>
            <w:gridSpan w:val="3"/>
            <w:vAlign w:val="center"/>
          </w:tcPr>
          <w:p>
            <w:pPr>
              <w:spacing w:line="400" w:lineRule="exact"/>
              <w:jc w:val="center"/>
              <w:rPr>
                <w:rFonts w:ascii="仿宋_GB2312" w:hAnsi="宋体" w:eastAsia="仿宋_GB2312" w:cs="宋体"/>
                <w:b/>
                <w:bCs/>
                <w:color w:val="000000"/>
                <w:sz w:val="28"/>
              </w:rPr>
            </w:pPr>
            <w:r>
              <w:rPr>
                <w:rFonts w:hint="eastAsia" w:ascii="仿宋_GB2312" w:hAnsi="宋体" w:eastAsia="仿宋_GB2312" w:cs="宋体"/>
                <w:b/>
                <w:bCs/>
                <w:color w:val="000000"/>
                <w:sz w:val="28"/>
              </w:rPr>
              <w:t>组织领导</w:t>
            </w:r>
          </w:p>
        </w:tc>
        <w:tc>
          <w:tcPr>
            <w:tcW w:w="588" w:type="pct"/>
            <w:gridSpan w:val="2"/>
            <w:vAlign w:val="center"/>
          </w:tcPr>
          <w:p>
            <w:pPr>
              <w:spacing w:line="400" w:lineRule="exact"/>
              <w:jc w:val="center"/>
              <w:rPr>
                <w:rFonts w:ascii="仿宋_GB2312" w:hAnsi="宋体" w:eastAsia="仿宋_GB2312" w:cs="宋体"/>
                <w:b/>
                <w:bCs/>
                <w:color w:val="000000"/>
                <w:sz w:val="28"/>
              </w:rPr>
            </w:pPr>
            <w:r>
              <w:rPr>
                <w:rFonts w:hint="eastAsia" w:ascii="仿宋_GB2312" w:hAnsi="宋体" w:eastAsia="仿宋_GB2312" w:cs="宋体"/>
                <w:b/>
                <w:bCs/>
                <w:color w:val="000000"/>
                <w:sz w:val="28"/>
              </w:rPr>
              <w:t>参加</w:t>
            </w:r>
          </w:p>
          <w:p>
            <w:pPr>
              <w:spacing w:line="400" w:lineRule="exact"/>
              <w:jc w:val="center"/>
              <w:rPr>
                <w:rFonts w:ascii="仿宋_GB2312" w:hAnsi="宋体" w:eastAsia="仿宋_GB2312" w:cs="宋体"/>
                <w:b/>
                <w:bCs/>
                <w:color w:val="000000"/>
                <w:sz w:val="28"/>
              </w:rPr>
            </w:pPr>
            <w:r>
              <w:rPr>
                <w:rFonts w:hint="eastAsia" w:ascii="仿宋_GB2312" w:hAnsi="宋体" w:eastAsia="仿宋_GB2312" w:cs="宋体"/>
                <w:b/>
                <w:bCs/>
                <w:color w:val="000000"/>
                <w:sz w:val="28"/>
              </w:rPr>
              <w:t>人数</w:t>
            </w:r>
          </w:p>
        </w:tc>
        <w:tc>
          <w:tcPr>
            <w:tcW w:w="2352" w:type="pct"/>
            <w:gridSpan w:val="8"/>
            <w:vAlign w:val="center"/>
          </w:tcPr>
          <w:p>
            <w:pPr>
              <w:spacing w:line="400" w:lineRule="exact"/>
              <w:jc w:val="center"/>
              <w:rPr>
                <w:rFonts w:ascii="仿宋_GB2312" w:hAnsi="宋体" w:eastAsia="仿宋_GB2312" w:cs="宋体"/>
                <w:b/>
                <w:bCs/>
                <w:color w:val="000000"/>
                <w:sz w:val="28"/>
              </w:rPr>
            </w:pPr>
            <w:r>
              <w:rPr>
                <w:rFonts w:hint="eastAsia" w:ascii="仿宋_GB2312" w:hAnsi="宋体" w:eastAsia="仿宋_GB2312" w:cs="宋体"/>
                <w:b/>
                <w:bCs/>
                <w:color w:val="000000"/>
                <w:sz w:val="28"/>
              </w:rPr>
              <w:t>教育学习形式</w:t>
            </w:r>
          </w:p>
        </w:tc>
        <w:tc>
          <w:tcPr>
            <w:tcW w:w="1178" w:type="pct"/>
            <w:gridSpan w:val="4"/>
            <w:vAlign w:val="center"/>
          </w:tcPr>
          <w:p>
            <w:pPr>
              <w:spacing w:line="400" w:lineRule="exact"/>
              <w:jc w:val="center"/>
              <w:rPr>
                <w:rFonts w:ascii="仿宋_GB2312" w:hAnsi="宋体" w:eastAsia="仿宋_GB2312" w:cs="宋体"/>
                <w:b/>
                <w:bCs/>
                <w:color w:val="000000"/>
                <w:sz w:val="28"/>
              </w:rPr>
            </w:pPr>
            <w:r>
              <w:rPr>
                <w:rFonts w:hint="eastAsia" w:ascii="仿宋_GB2312" w:hAnsi="宋体" w:eastAsia="仿宋_GB2312" w:cs="宋体"/>
                <w:b/>
                <w:bCs/>
                <w:color w:val="000000"/>
                <w:sz w:val="28"/>
              </w:rPr>
              <w:t>查摆问题与</w:t>
            </w:r>
          </w:p>
          <w:p>
            <w:pPr>
              <w:spacing w:line="400" w:lineRule="exact"/>
              <w:jc w:val="center"/>
              <w:rPr>
                <w:rFonts w:ascii="仿宋_GB2312" w:hAnsi="宋体" w:eastAsia="仿宋_GB2312" w:cs="宋体"/>
                <w:b/>
                <w:bCs/>
                <w:color w:val="000000"/>
                <w:sz w:val="28"/>
              </w:rPr>
            </w:pPr>
            <w:r>
              <w:rPr>
                <w:rFonts w:hint="eastAsia" w:ascii="仿宋_GB2312" w:hAnsi="宋体" w:eastAsia="仿宋_GB2312" w:cs="宋体"/>
                <w:b/>
                <w:bCs/>
                <w:color w:val="000000"/>
                <w:sz w:val="28"/>
              </w:rPr>
              <w:t>整改成效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0" w:hRule="atLeast"/>
        </w:trPr>
        <w:tc>
          <w:tcPr>
            <w:tcW w:w="293" w:type="pct"/>
            <w:textDirection w:val="tbRlV"/>
            <w:vAlign w:val="center"/>
          </w:tcPr>
          <w:p>
            <w:pPr>
              <w:spacing w:line="560" w:lineRule="exact"/>
              <w:ind w:left="113" w:right="113"/>
              <w:rPr>
                <w:rFonts w:ascii="仿宋_GB2312" w:hAnsi="宋体" w:eastAsia="仿宋_GB2312" w:cs="宋体"/>
                <w:color w:val="000000"/>
                <w:sz w:val="28"/>
              </w:rPr>
            </w:pPr>
            <w:r>
              <w:rPr>
                <w:rFonts w:hint="eastAsia" w:ascii="仿宋_GB2312" w:hAnsi="宋体" w:eastAsia="仿宋_GB2312" w:cs="宋体"/>
                <w:color w:val="000000"/>
                <w:sz w:val="28"/>
              </w:rPr>
              <w:t>党政一把手作教育动员或辅导报告次数</w:t>
            </w:r>
          </w:p>
        </w:tc>
        <w:tc>
          <w:tcPr>
            <w:tcW w:w="293" w:type="pct"/>
            <w:textDirection w:val="tbRlV"/>
            <w:vAlign w:val="center"/>
          </w:tcPr>
          <w:p>
            <w:pPr>
              <w:spacing w:line="560" w:lineRule="exact"/>
              <w:ind w:left="113" w:right="113"/>
              <w:rPr>
                <w:rFonts w:ascii="仿宋_GB2312" w:hAnsi="宋体" w:eastAsia="仿宋_GB2312" w:cs="宋体"/>
                <w:color w:val="000000"/>
                <w:sz w:val="28"/>
              </w:rPr>
            </w:pPr>
            <w:r>
              <w:rPr>
                <w:rFonts w:hint="eastAsia" w:ascii="仿宋_GB2312" w:hAnsi="宋体" w:eastAsia="仿宋_GB2312" w:cs="宋体"/>
                <w:color w:val="000000"/>
                <w:sz w:val="28"/>
              </w:rPr>
              <w:t>拨出纪律教育经费（万元）</w:t>
            </w:r>
          </w:p>
        </w:tc>
        <w:tc>
          <w:tcPr>
            <w:tcW w:w="296" w:type="pct"/>
            <w:textDirection w:val="tbRlV"/>
            <w:vAlign w:val="center"/>
          </w:tcPr>
          <w:p>
            <w:pPr>
              <w:spacing w:line="560" w:lineRule="exact"/>
              <w:ind w:left="113" w:right="113"/>
              <w:rPr>
                <w:rFonts w:ascii="仿宋_GB2312" w:hAnsi="宋体" w:eastAsia="仿宋_GB2312" w:cs="宋体"/>
                <w:color w:val="000000"/>
                <w:sz w:val="28"/>
              </w:rPr>
            </w:pPr>
            <w:r>
              <w:rPr>
                <w:rFonts w:hint="eastAsia" w:ascii="仿宋_GB2312" w:hAnsi="宋体" w:eastAsia="仿宋_GB2312" w:cs="宋体"/>
                <w:color w:val="000000"/>
                <w:sz w:val="28"/>
              </w:rPr>
              <w:t>党组织专题研究反腐倡廉教育工作次数</w:t>
            </w:r>
          </w:p>
        </w:tc>
        <w:tc>
          <w:tcPr>
            <w:tcW w:w="293" w:type="pct"/>
            <w:textDirection w:val="tbRlV"/>
            <w:vAlign w:val="center"/>
          </w:tcPr>
          <w:p>
            <w:pPr>
              <w:spacing w:line="560" w:lineRule="exact"/>
              <w:ind w:left="113" w:right="113"/>
              <w:rPr>
                <w:rFonts w:ascii="仿宋_GB2312" w:hAnsi="宋体" w:eastAsia="仿宋_GB2312" w:cs="宋体"/>
                <w:color w:val="000000"/>
                <w:sz w:val="28"/>
              </w:rPr>
            </w:pPr>
            <w:r>
              <w:rPr>
                <w:rFonts w:hint="eastAsia" w:ascii="仿宋_GB2312" w:hAnsi="宋体" w:eastAsia="仿宋_GB2312" w:cs="宋体"/>
                <w:color w:val="000000"/>
                <w:sz w:val="28"/>
              </w:rPr>
              <w:t>参加教育活动党员人数/占党员总数比例%</w:t>
            </w:r>
          </w:p>
        </w:tc>
        <w:tc>
          <w:tcPr>
            <w:tcW w:w="294" w:type="pct"/>
            <w:textDirection w:val="tbRlV"/>
            <w:vAlign w:val="center"/>
          </w:tcPr>
          <w:p>
            <w:pPr>
              <w:spacing w:line="560" w:lineRule="exact"/>
              <w:ind w:left="113" w:right="113"/>
              <w:rPr>
                <w:rFonts w:ascii="仿宋_GB2312" w:hAnsi="宋体" w:eastAsia="仿宋_GB2312" w:cs="宋体"/>
                <w:color w:val="000000"/>
                <w:sz w:val="28"/>
              </w:rPr>
            </w:pPr>
            <w:r>
              <w:rPr>
                <w:rFonts w:hint="eastAsia" w:ascii="仿宋_GB2312" w:hAnsi="宋体" w:eastAsia="仿宋_GB2312" w:cs="宋体"/>
                <w:color w:val="000000"/>
                <w:sz w:val="28"/>
              </w:rPr>
              <w:t>参加教育活动处级以上领导干部人数</w:t>
            </w:r>
          </w:p>
        </w:tc>
        <w:tc>
          <w:tcPr>
            <w:tcW w:w="293" w:type="pct"/>
            <w:textDirection w:val="tbRlV"/>
            <w:vAlign w:val="center"/>
          </w:tcPr>
          <w:p>
            <w:pPr>
              <w:spacing w:line="560" w:lineRule="exact"/>
              <w:ind w:left="113" w:right="113"/>
              <w:rPr>
                <w:rFonts w:ascii="仿宋_GB2312" w:hAnsi="宋体" w:eastAsia="仿宋_GB2312" w:cs="宋体"/>
                <w:color w:val="000000"/>
                <w:sz w:val="28"/>
              </w:rPr>
            </w:pPr>
            <w:r>
              <w:rPr>
                <w:rFonts w:hint="eastAsia" w:ascii="仿宋_GB2312" w:hAnsi="宋体" w:eastAsia="仿宋_GB2312" w:cs="宋体"/>
                <w:color w:val="000000"/>
                <w:sz w:val="28"/>
              </w:rPr>
              <w:t>领导或专家作辅导次数/听课人数</w:t>
            </w:r>
          </w:p>
        </w:tc>
        <w:tc>
          <w:tcPr>
            <w:tcW w:w="293" w:type="pct"/>
            <w:textDirection w:val="tbRlV"/>
            <w:vAlign w:val="center"/>
          </w:tcPr>
          <w:p>
            <w:pPr>
              <w:spacing w:line="560" w:lineRule="exact"/>
              <w:ind w:left="113" w:right="113"/>
              <w:rPr>
                <w:rFonts w:ascii="仿宋_GB2312" w:hAnsi="宋体" w:eastAsia="仿宋_GB2312" w:cs="宋体"/>
                <w:color w:val="000000"/>
                <w:sz w:val="28"/>
              </w:rPr>
            </w:pPr>
            <w:r>
              <w:rPr>
                <w:rFonts w:hint="eastAsia" w:ascii="仿宋_GB2312" w:hAnsi="宋体" w:eastAsia="仿宋_GB2312" w:cs="宋体"/>
                <w:color w:val="000000"/>
                <w:sz w:val="28"/>
              </w:rPr>
              <w:t>集中观看反腐倡廉专题片场次/观看人数</w:t>
            </w:r>
          </w:p>
        </w:tc>
        <w:tc>
          <w:tcPr>
            <w:tcW w:w="293" w:type="pct"/>
            <w:textDirection w:val="tbRlV"/>
            <w:vAlign w:val="center"/>
          </w:tcPr>
          <w:p>
            <w:pPr>
              <w:spacing w:line="560" w:lineRule="exact"/>
              <w:ind w:left="113" w:right="113"/>
              <w:rPr>
                <w:rFonts w:ascii="仿宋_GB2312" w:hAnsi="宋体" w:eastAsia="仿宋_GB2312" w:cs="宋体"/>
                <w:color w:val="000000"/>
                <w:sz w:val="28"/>
              </w:rPr>
            </w:pPr>
            <w:r>
              <w:rPr>
                <w:rFonts w:hint="eastAsia" w:ascii="仿宋_GB2312" w:hAnsi="宋体" w:eastAsia="仿宋_GB2312" w:cs="宋体"/>
                <w:color w:val="000000"/>
                <w:sz w:val="28"/>
              </w:rPr>
              <w:t>举办党章党规知识测试场次/参加人数</w:t>
            </w:r>
          </w:p>
        </w:tc>
        <w:tc>
          <w:tcPr>
            <w:tcW w:w="293" w:type="pct"/>
            <w:textDirection w:val="tbRlV"/>
            <w:vAlign w:val="center"/>
          </w:tcPr>
          <w:p>
            <w:pPr>
              <w:spacing w:line="560" w:lineRule="exact"/>
              <w:ind w:left="113" w:right="113"/>
              <w:rPr>
                <w:rFonts w:ascii="仿宋_GB2312" w:hAnsi="宋体" w:eastAsia="仿宋_GB2312" w:cs="宋体"/>
                <w:color w:val="000000"/>
                <w:sz w:val="28"/>
              </w:rPr>
            </w:pPr>
            <w:r>
              <w:rPr>
                <w:rFonts w:hint="eastAsia" w:ascii="仿宋_GB2312" w:hAnsi="宋体" w:eastAsia="仿宋_GB2312" w:cs="宋体"/>
                <w:color w:val="000000"/>
                <w:sz w:val="28"/>
              </w:rPr>
              <w:t>总结正面典型数/剖析反面典型数</w:t>
            </w:r>
          </w:p>
        </w:tc>
        <w:tc>
          <w:tcPr>
            <w:tcW w:w="293" w:type="pct"/>
            <w:textDirection w:val="tbRlV"/>
            <w:vAlign w:val="center"/>
          </w:tcPr>
          <w:p>
            <w:pPr>
              <w:spacing w:line="560" w:lineRule="exact"/>
              <w:ind w:left="113" w:right="113"/>
              <w:rPr>
                <w:rFonts w:ascii="仿宋_GB2312" w:hAnsi="宋体" w:eastAsia="仿宋_GB2312" w:cs="宋体"/>
                <w:color w:val="000000"/>
                <w:sz w:val="28"/>
              </w:rPr>
            </w:pPr>
            <w:r>
              <w:rPr>
                <w:rFonts w:ascii="仿宋_GB2312" w:hAnsi="宋体" w:eastAsia="仿宋_GB2312" w:cs="宋体"/>
                <w:color w:val="000000"/>
                <w:sz w:val="28"/>
              </w:rPr>
              <w:t>开展勤廉敬业主题党日活动次数</w:t>
            </w:r>
          </w:p>
        </w:tc>
        <w:tc>
          <w:tcPr>
            <w:tcW w:w="293" w:type="pct"/>
            <w:textDirection w:val="tbRlV"/>
            <w:vAlign w:val="center"/>
          </w:tcPr>
          <w:p>
            <w:pPr>
              <w:spacing w:line="560" w:lineRule="exact"/>
              <w:ind w:left="113" w:right="113"/>
              <w:rPr>
                <w:rFonts w:ascii="仿宋_GB2312" w:hAnsi="宋体" w:eastAsia="仿宋_GB2312" w:cs="宋体"/>
                <w:color w:val="000000"/>
                <w:sz w:val="28"/>
              </w:rPr>
            </w:pPr>
            <w:r>
              <w:rPr>
                <w:rFonts w:hint="eastAsia" w:ascii="仿宋_GB2312" w:hAnsi="宋体" w:eastAsia="仿宋_GB2312" w:cs="宋体"/>
                <w:color w:val="000000"/>
                <w:sz w:val="28"/>
              </w:rPr>
              <w:t>党员干部撰写心得体会篇数</w:t>
            </w:r>
          </w:p>
        </w:tc>
        <w:tc>
          <w:tcPr>
            <w:tcW w:w="293" w:type="pct"/>
            <w:textDirection w:val="tbRlV"/>
            <w:vAlign w:val="center"/>
          </w:tcPr>
          <w:p>
            <w:pPr>
              <w:spacing w:line="560" w:lineRule="exact"/>
              <w:ind w:left="113" w:right="113"/>
              <w:rPr>
                <w:rFonts w:ascii="仿宋_GB2312" w:hAnsi="宋体" w:eastAsia="仿宋_GB2312" w:cs="宋体"/>
                <w:color w:val="000000"/>
                <w:sz w:val="28"/>
              </w:rPr>
            </w:pPr>
            <w:r>
              <w:rPr>
                <w:rFonts w:hint="eastAsia" w:ascii="仿宋_GB2312" w:hAnsi="宋体" w:eastAsia="仿宋_GB2312" w:cs="宋体"/>
                <w:color w:val="000000"/>
                <w:sz w:val="28"/>
              </w:rPr>
              <w:t>宣传稿件数/宣传稿件被校级以上媒体采用数</w:t>
            </w:r>
          </w:p>
        </w:tc>
        <w:tc>
          <w:tcPr>
            <w:tcW w:w="301" w:type="pct"/>
            <w:textDirection w:val="tbRlV"/>
            <w:vAlign w:val="center"/>
          </w:tcPr>
          <w:p>
            <w:pPr>
              <w:spacing w:line="560" w:lineRule="exact"/>
              <w:ind w:left="113" w:right="113"/>
              <w:rPr>
                <w:rFonts w:ascii="仿宋_GB2312" w:hAnsi="宋体" w:eastAsia="仿宋_GB2312" w:cs="宋体"/>
                <w:color w:val="000000"/>
                <w:sz w:val="28"/>
              </w:rPr>
            </w:pPr>
            <w:r>
              <w:rPr>
                <w:rFonts w:hint="eastAsia" w:ascii="仿宋_GB2312" w:hAnsi="宋体" w:eastAsia="仿宋_GB2312" w:cs="宋体"/>
                <w:color w:val="000000"/>
                <w:sz w:val="28"/>
              </w:rPr>
              <w:t>其他形式（请填写名称）</w:t>
            </w:r>
          </w:p>
        </w:tc>
        <w:tc>
          <w:tcPr>
            <w:tcW w:w="294" w:type="pct"/>
            <w:textDirection w:val="tbRlV"/>
            <w:vAlign w:val="center"/>
          </w:tcPr>
          <w:p>
            <w:pPr>
              <w:spacing w:line="560" w:lineRule="exact"/>
              <w:ind w:left="113" w:right="113"/>
              <w:rPr>
                <w:rFonts w:ascii="仿宋_GB2312" w:hAnsi="宋体" w:eastAsia="仿宋_GB2312" w:cs="宋体"/>
                <w:color w:val="000000"/>
                <w:sz w:val="28"/>
              </w:rPr>
            </w:pPr>
            <w:r>
              <w:rPr>
                <w:rFonts w:hint="eastAsia" w:ascii="仿宋_GB2312" w:hAnsi="宋体" w:eastAsia="仿宋_GB2312" w:cs="宋体"/>
                <w:color w:val="000000"/>
                <w:sz w:val="28"/>
              </w:rPr>
              <w:t>查摆问题数/已整改数</w:t>
            </w:r>
          </w:p>
        </w:tc>
        <w:tc>
          <w:tcPr>
            <w:tcW w:w="294" w:type="pct"/>
            <w:textDirection w:val="tbRlV"/>
            <w:vAlign w:val="center"/>
          </w:tcPr>
          <w:p>
            <w:pPr>
              <w:spacing w:line="560" w:lineRule="exact"/>
              <w:ind w:left="113" w:right="113"/>
              <w:rPr>
                <w:rFonts w:ascii="仿宋_GB2312" w:hAnsi="宋体" w:eastAsia="仿宋_GB2312" w:cs="宋体"/>
                <w:color w:val="000000"/>
                <w:sz w:val="28"/>
              </w:rPr>
            </w:pPr>
            <w:r>
              <w:rPr>
                <w:rFonts w:hint="eastAsia" w:ascii="仿宋_GB2312" w:hAnsi="宋体" w:eastAsia="仿宋_GB2312" w:cs="宋体"/>
                <w:color w:val="000000"/>
                <w:sz w:val="28"/>
              </w:rPr>
              <w:t>上缴红包及有价证券的人数/金额（万元）</w:t>
            </w:r>
          </w:p>
        </w:tc>
        <w:tc>
          <w:tcPr>
            <w:tcW w:w="294" w:type="pct"/>
            <w:textDirection w:val="tbRlV"/>
            <w:vAlign w:val="center"/>
          </w:tcPr>
          <w:p>
            <w:pPr>
              <w:spacing w:line="560" w:lineRule="exact"/>
              <w:ind w:left="113" w:right="113"/>
              <w:rPr>
                <w:rFonts w:ascii="仿宋_GB2312" w:hAnsi="宋体" w:eastAsia="仿宋_GB2312" w:cs="宋体"/>
                <w:color w:val="000000"/>
                <w:sz w:val="28"/>
              </w:rPr>
            </w:pPr>
            <w:r>
              <w:rPr>
                <w:rFonts w:hint="eastAsia" w:ascii="仿宋_GB2312" w:hAnsi="宋体" w:eastAsia="仿宋_GB2312" w:cs="宋体"/>
                <w:color w:val="000000"/>
                <w:sz w:val="28"/>
              </w:rPr>
              <w:t>建立完善制度个数</w:t>
            </w:r>
          </w:p>
        </w:tc>
        <w:tc>
          <w:tcPr>
            <w:tcW w:w="296" w:type="pct"/>
            <w:textDirection w:val="tbRlV"/>
            <w:vAlign w:val="center"/>
          </w:tcPr>
          <w:p>
            <w:pPr>
              <w:spacing w:line="560" w:lineRule="exact"/>
              <w:ind w:left="113" w:right="113"/>
              <w:rPr>
                <w:rFonts w:ascii="仿宋_GB2312" w:hAnsi="宋体" w:eastAsia="仿宋_GB2312" w:cs="宋体"/>
                <w:color w:val="000000"/>
                <w:sz w:val="28"/>
              </w:rPr>
            </w:pPr>
            <w:r>
              <w:rPr>
                <w:rFonts w:hint="eastAsia" w:ascii="仿宋_GB2312" w:hAnsi="宋体" w:eastAsia="仿宋_GB2312" w:cs="宋体"/>
                <w:color w:val="000000"/>
                <w:sz w:val="28"/>
              </w:rPr>
              <w:t>为群众办好事实事件数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7" w:hRule="atLeast"/>
        </w:trPr>
        <w:tc>
          <w:tcPr>
            <w:tcW w:w="293" w:type="pct"/>
            <w:vAlign w:val="center"/>
          </w:tcPr>
          <w:p>
            <w:pPr>
              <w:spacing w:line="560" w:lineRule="exact"/>
              <w:rPr>
                <w:rFonts w:ascii="仿宋_GB2312" w:hAnsi="宋体" w:eastAsia="仿宋_GB2312" w:cs="宋体"/>
                <w:color w:val="000000"/>
                <w:sz w:val="28"/>
              </w:rPr>
            </w:pPr>
          </w:p>
        </w:tc>
        <w:tc>
          <w:tcPr>
            <w:tcW w:w="293" w:type="pct"/>
            <w:vAlign w:val="center"/>
          </w:tcPr>
          <w:p>
            <w:pPr>
              <w:spacing w:line="560" w:lineRule="exact"/>
              <w:rPr>
                <w:rFonts w:ascii="仿宋_GB2312" w:hAnsi="宋体" w:eastAsia="仿宋_GB2312" w:cs="宋体"/>
                <w:color w:val="000000"/>
                <w:sz w:val="28"/>
              </w:rPr>
            </w:pPr>
          </w:p>
        </w:tc>
        <w:tc>
          <w:tcPr>
            <w:tcW w:w="296" w:type="pct"/>
            <w:vAlign w:val="center"/>
          </w:tcPr>
          <w:p>
            <w:pPr>
              <w:spacing w:line="560" w:lineRule="exact"/>
              <w:rPr>
                <w:rFonts w:ascii="仿宋_GB2312" w:hAnsi="宋体" w:eastAsia="仿宋_GB2312" w:cs="宋体"/>
                <w:color w:val="000000"/>
                <w:sz w:val="28"/>
              </w:rPr>
            </w:pPr>
          </w:p>
        </w:tc>
        <w:tc>
          <w:tcPr>
            <w:tcW w:w="293" w:type="pct"/>
            <w:vAlign w:val="center"/>
          </w:tcPr>
          <w:p>
            <w:pPr>
              <w:spacing w:line="560" w:lineRule="exact"/>
              <w:rPr>
                <w:rFonts w:ascii="仿宋_GB2312" w:hAnsi="宋体" w:eastAsia="仿宋_GB2312" w:cs="宋体"/>
                <w:color w:val="000000"/>
                <w:sz w:val="28"/>
              </w:rPr>
            </w:pPr>
          </w:p>
        </w:tc>
        <w:tc>
          <w:tcPr>
            <w:tcW w:w="294" w:type="pct"/>
            <w:vAlign w:val="center"/>
          </w:tcPr>
          <w:p>
            <w:pPr>
              <w:spacing w:line="560" w:lineRule="exact"/>
              <w:rPr>
                <w:rFonts w:ascii="仿宋_GB2312" w:hAnsi="宋体" w:eastAsia="仿宋_GB2312" w:cs="宋体"/>
                <w:color w:val="000000"/>
                <w:sz w:val="28"/>
              </w:rPr>
            </w:pPr>
          </w:p>
        </w:tc>
        <w:tc>
          <w:tcPr>
            <w:tcW w:w="293" w:type="pct"/>
            <w:vAlign w:val="center"/>
          </w:tcPr>
          <w:p>
            <w:pPr>
              <w:spacing w:line="560" w:lineRule="exact"/>
              <w:rPr>
                <w:rFonts w:ascii="仿宋_GB2312" w:hAnsi="宋体" w:eastAsia="仿宋_GB2312" w:cs="宋体"/>
                <w:color w:val="000000"/>
                <w:sz w:val="28"/>
              </w:rPr>
            </w:pPr>
          </w:p>
        </w:tc>
        <w:tc>
          <w:tcPr>
            <w:tcW w:w="293" w:type="pct"/>
            <w:vAlign w:val="center"/>
          </w:tcPr>
          <w:p>
            <w:pPr>
              <w:spacing w:line="560" w:lineRule="exact"/>
              <w:rPr>
                <w:rFonts w:ascii="仿宋_GB2312" w:hAnsi="宋体" w:eastAsia="仿宋_GB2312" w:cs="宋体"/>
                <w:color w:val="000000"/>
                <w:sz w:val="28"/>
              </w:rPr>
            </w:pPr>
          </w:p>
        </w:tc>
        <w:tc>
          <w:tcPr>
            <w:tcW w:w="293" w:type="pct"/>
            <w:vAlign w:val="center"/>
          </w:tcPr>
          <w:p>
            <w:pPr>
              <w:spacing w:line="560" w:lineRule="exact"/>
              <w:rPr>
                <w:rFonts w:ascii="仿宋_GB2312" w:hAnsi="宋体" w:eastAsia="仿宋_GB2312" w:cs="宋体"/>
                <w:color w:val="000000"/>
                <w:sz w:val="28"/>
              </w:rPr>
            </w:pPr>
          </w:p>
        </w:tc>
        <w:tc>
          <w:tcPr>
            <w:tcW w:w="293" w:type="pct"/>
            <w:vAlign w:val="center"/>
          </w:tcPr>
          <w:p>
            <w:pPr>
              <w:spacing w:line="560" w:lineRule="exact"/>
              <w:rPr>
                <w:rFonts w:ascii="仿宋_GB2312" w:hAnsi="宋体" w:eastAsia="仿宋_GB2312" w:cs="宋体"/>
                <w:color w:val="000000"/>
                <w:sz w:val="28"/>
              </w:rPr>
            </w:pPr>
          </w:p>
        </w:tc>
        <w:tc>
          <w:tcPr>
            <w:tcW w:w="293" w:type="pct"/>
            <w:vAlign w:val="center"/>
          </w:tcPr>
          <w:p>
            <w:pPr>
              <w:spacing w:line="560" w:lineRule="exact"/>
              <w:rPr>
                <w:rFonts w:ascii="仿宋_GB2312" w:hAnsi="宋体" w:eastAsia="仿宋_GB2312" w:cs="宋体"/>
                <w:color w:val="000000"/>
                <w:sz w:val="28"/>
              </w:rPr>
            </w:pPr>
          </w:p>
        </w:tc>
        <w:tc>
          <w:tcPr>
            <w:tcW w:w="293" w:type="pct"/>
            <w:vAlign w:val="center"/>
          </w:tcPr>
          <w:p>
            <w:pPr>
              <w:spacing w:line="560" w:lineRule="exact"/>
              <w:rPr>
                <w:rFonts w:ascii="仿宋_GB2312" w:hAnsi="宋体" w:eastAsia="仿宋_GB2312" w:cs="宋体"/>
                <w:color w:val="000000"/>
                <w:sz w:val="28"/>
              </w:rPr>
            </w:pPr>
          </w:p>
        </w:tc>
        <w:tc>
          <w:tcPr>
            <w:tcW w:w="293" w:type="pct"/>
            <w:vAlign w:val="center"/>
          </w:tcPr>
          <w:p>
            <w:pPr>
              <w:spacing w:line="560" w:lineRule="exact"/>
              <w:rPr>
                <w:rFonts w:ascii="仿宋_GB2312" w:hAnsi="宋体" w:eastAsia="仿宋_GB2312" w:cs="宋体"/>
                <w:color w:val="000000"/>
                <w:sz w:val="28"/>
              </w:rPr>
            </w:pPr>
          </w:p>
        </w:tc>
        <w:tc>
          <w:tcPr>
            <w:tcW w:w="301" w:type="pct"/>
            <w:vAlign w:val="center"/>
          </w:tcPr>
          <w:p>
            <w:pPr>
              <w:spacing w:line="560" w:lineRule="exact"/>
              <w:rPr>
                <w:rFonts w:ascii="仿宋_GB2312" w:hAnsi="宋体" w:eastAsia="仿宋_GB2312" w:cs="宋体"/>
                <w:color w:val="000000"/>
                <w:sz w:val="28"/>
              </w:rPr>
            </w:pPr>
          </w:p>
        </w:tc>
        <w:tc>
          <w:tcPr>
            <w:tcW w:w="294" w:type="pct"/>
            <w:vAlign w:val="center"/>
          </w:tcPr>
          <w:p>
            <w:pPr>
              <w:spacing w:line="560" w:lineRule="exact"/>
              <w:rPr>
                <w:rFonts w:ascii="仿宋_GB2312" w:hAnsi="宋体" w:eastAsia="仿宋_GB2312" w:cs="宋体"/>
                <w:color w:val="000000"/>
                <w:sz w:val="28"/>
              </w:rPr>
            </w:pPr>
          </w:p>
        </w:tc>
        <w:tc>
          <w:tcPr>
            <w:tcW w:w="294" w:type="pct"/>
            <w:vAlign w:val="center"/>
          </w:tcPr>
          <w:p>
            <w:pPr>
              <w:spacing w:line="560" w:lineRule="exact"/>
              <w:rPr>
                <w:rFonts w:ascii="仿宋_GB2312" w:hAnsi="宋体" w:eastAsia="仿宋_GB2312" w:cs="宋体"/>
                <w:color w:val="000000"/>
                <w:sz w:val="28"/>
              </w:rPr>
            </w:pPr>
          </w:p>
        </w:tc>
        <w:tc>
          <w:tcPr>
            <w:tcW w:w="294" w:type="pct"/>
            <w:vAlign w:val="center"/>
          </w:tcPr>
          <w:p>
            <w:pPr>
              <w:spacing w:line="560" w:lineRule="exact"/>
              <w:rPr>
                <w:rFonts w:ascii="仿宋_GB2312" w:hAnsi="宋体" w:eastAsia="仿宋_GB2312" w:cs="宋体"/>
                <w:color w:val="000000"/>
                <w:sz w:val="28"/>
              </w:rPr>
            </w:pPr>
          </w:p>
        </w:tc>
        <w:tc>
          <w:tcPr>
            <w:tcW w:w="296" w:type="pct"/>
            <w:vAlign w:val="center"/>
          </w:tcPr>
          <w:p>
            <w:pPr>
              <w:spacing w:line="560" w:lineRule="exact"/>
              <w:rPr>
                <w:rFonts w:ascii="仿宋_GB2312" w:hAnsi="宋体" w:eastAsia="仿宋_GB2312" w:cs="宋体"/>
                <w:color w:val="000000"/>
                <w:sz w:val="28"/>
              </w:rPr>
            </w:pPr>
          </w:p>
        </w:tc>
      </w:tr>
    </w:tbl>
    <w:p>
      <w:pPr>
        <w:spacing w:line="560" w:lineRule="exact"/>
        <w:rPr>
          <w:rFonts w:ascii="仿宋_GB2312" w:hAnsi="宋体" w:eastAsia="仿宋_GB2312" w:cs="宋体"/>
          <w:color w:val="000000"/>
          <w:sz w:val="28"/>
        </w:rPr>
      </w:pPr>
      <w:r>
        <w:rPr>
          <w:rFonts w:hint="eastAsia" w:ascii="仿宋_GB2312" w:hAnsi="宋体" w:eastAsia="仿宋_GB2312" w:cs="宋体"/>
          <w:color w:val="000000"/>
          <w:sz w:val="28"/>
        </w:rPr>
        <w:t xml:space="preserve">联系人： </w:t>
      </w:r>
      <w:r>
        <w:rPr>
          <w:rFonts w:ascii="仿宋_GB2312" w:hAnsi="宋体" w:eastAsia="仿宋_GB2312" w:cs="宋体"/>
          <w:color w:val="000000"/>
          <w:sz w:val="28"/>
        </w:rPr>
        <w:t xml:space="preserve">                 </w:t>
      </w:r>
      <w:r>
        <w:rPr>
          <w:rFonts w:hint="eastAsia" w:ascii="仿宋_GB2312" w:hAnsi="宋体" w:eastAsia="仿宋_GB2312" w:cs="宋体"/>
          <w:color w:val="000000"/>
          <w:sz w:val="28"/>
        </w:rPr>
        <w:t>联系电话：</w:t>
      </w:r>
    </w:p>
    <w:p/>
    <w:sectPr>
      <w:headerReference r:id="rId3" w:type="default"/>
      <w:footerReference r:id="rId4" w:type="default"/>
      <w:footerReference r:id="rId5"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小标宋">
    <w:altName w:val="微软雅黑"/>
    <w:panose1 w:val="00000000000000000000"/>
    <w:charset w:val="86"/>
    <w:family w:val="script"/>
    <w:pitch w:val="default"/>
    <w:sig w:usb0="00000000" w:usb1="00000000" w:usb2="00000000" w:usb3="00000000" w:csb0="00040000" w:csb1="00000000"/>
  </w:font>
  <w:font w:name="方正小标宋简体">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粗黑宋简体">
    <w:panose1 w:val="02000000000000000000"/>
    <w:charset w:val="86"/>
    <w:family w:val="auto"/>
    <w:pitch w:val="default"/>
    <w:sig w:usb0="A00002BF" w:usb1="184F6CFA" w:usb2="00000012"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ind w:left="454" w:right="454"/>
      <w:rPr>
        <w:rStyle w:val="6"/>
        <w:rFonts w:ascii="宋体" w:hAnsi="宋体"/>
        <w:sz w:val="28"/>
      </w:rPr>
    </w:pPr>
    <w:r>
      <w:rPr>
        <w:rStyle w:val="6"/>
        <w:rFonts w:ascii="宋体" w:hAnsi="宋体"/>
        <w:sz w:val="28"/>
      </w:rPr>
      <w:t>—</w:t>
    </w:r>
    <w:r>
      <w:rPr>
        <w:rStyle w:val="6"/>
        <w:rFonts w:hint="eastAsia" w:ascii="宋体" w:hAnsi="宋体"/>
        <w:sz w:val="28"/>
      </w:rPr>
      <w:t xml:space="preserve"> </w:t>
    </w:r>
    <w:r>
      <w:rPr>
        <w:rStyle w:val="6"/>
        <w:rFonts w:ascii="宋体" w:hAnsi="宋体"/>
        <w:sz w:val="28"/>
      </w:rPr>
      <w:fldChar w:fldCharType="begin"/>
    </w:r>
    <w:r>
      <w:rPr>
        <w:rStyle w:val="6"/>
        <w:rFonts w:ascii="宋体" w:hAnsi="宋体"/>
        <w:sz w:val="28"/>
      </w:rPr>
      <w:instrText xml:space="preserve">PAGE  </w:instrText>
    </w:r>
    <w:r>
      <w:rPr>
        <w:rStyle w:val="6"/>
        <w:rFonts w:ascii="宋体" w:hAnsi="宋体"/>
        <w:sz w:val="28"/>
      </w:rPr>
      <w:fldChar w:fldCharType="separate"/>
    </w:r>
    <w:r>
      <w:rPr>
        <w:rStyle w:val="6"/>
        <w:rFonts w:ascii="宋体" w:hAnsi="宋体"/>
        <w:sz w:val="28"/>
      </w:rPr>
      <w:t>1</w:t>
    </w:r>
    <w:r>
      <w:rPr>
        <w:rStyle w:val="6"/>
        <w:rFonts w:ascii="宋体" w:hAnsi="宋体"/>
        <w:sz w:val="28"/>
      </w:rPr>
      <w:fldChar w:fldCharType="end"/>
    </w:r>
    <w:r>
      <w:rPr>
        <w:rStyle w:val="6"/>
        <w:rFonts w:hint="eastAsia" w:ascii="宋体" w:hAnsi="宋体"/>
        <w:sz w:val="28"/>
      </w:rPr>
      <w:t xml:space="preserve"> </w:t>
    </w:r>
    <w:r>
      <w:rPr>
        <w:rStyle w:val="6"/>
        <w:rFonts w:ascii="宋体" w:hAnsi="宋体"/>
        <w:sz w:val="28"/>
      </w:rPr>
      <w:t>—</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rPr>
        <w:rStyle w:val="6"/>
      </w:rPr>
      <w:fldChar w:fldCharType="begin"/>
    </w:r>
    <w:r>
      <w:rPr>
        <w:rStyle w:val="6"/>
      </w:rPr>
      <w:instrText xml:space="preserve">PAGE  </w:instrText>
    </w:r>
    <w:r>
      <w:rPr>
        <w:rStyle w:val="6"/>
      </w:rPr>
      <w:fldChar w:fldCharType="separate"/>
    </w:r>
    <w:r>
      <w:rPr>
        <w:rStyle w:val="6"/>
      </w:rPr>
      <w:t>11</w:t>
    </w:r>
    <w:r>
      <w:rPr>
        <w:rStyle w:val="6"/>
      </w:rP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4656A"/>
    <w:rsid w:val="00001A03"/>
    <w:rsid w:val="000022CA"/>
    <w:rsid w:val="000A4AF4"/>
    <w:rsid w:val="0033243E"/>
    <w:rsid w:val="003B6689"/>
    <w:rsid w:val="003E1AC7"/>
    <w:rsid w:val="00416C0C"/>
    <w:rsid w:val="0044656A"/>
    <w:rsid w:val="00491AB4"/>
    <w:rsid w:val="00524D0D"/>
    <w:rsid w:val="0054567E"/>
    <w:rsid w:val="00551D14"/>
    <w:rsid w:val="005F4D2E"/>
    <w:rsid w:val="00651CC9"/>
    <w:rsid w:val="00695A08"/>
    <w:rsid w:val="00767A66"/>
    <w:rsid w:val="00895559"/>
    <w:rsid w:val="008A3431"/>
    <w:rsid w:val="008F0838"/>
    <w:rsid w:val="0092536A"/>
    <w:rsid w:val="009315EE"/>
    <w:rsid w:val="00993F0D"/>
    <w:rsid w:val="009A66B2"/>
    <w:rsid w:val="009E1B0E"/>
    <w:rsid w:val="00AD4DC4"/>
    <w:rsid w:val="00B423F1"/>
    <w:rsid w:val="00B6131C"/>
    <w:rsid w:val="00BB3B06"/>
    <w:rsid w:val="00BD5CD3"/>
    <w:rsid w:val="00C002E0"/>
    <w:rsid w:val="00CB08FE"/>
    <w:rsid w:val="00CB3A6C"/>
    <w:rsid w:val="00CF3A3F"/>
    <w:rsid w:val="00E25070"/>
    <w:rsid w:val="00E40DBC"/>
    <w:rsid w:val="00E70EDF"/>
    <w:rsid w:val="00ED5708"/>
    <w:rsid w:val="00FD3FF5"/>
    <w:rsid w:val="00FD6887"/>
    <w:rsid w:val="1E5C1E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0"/>
    <w:pPr>
      <w:tabs>
        <w:tab w:val="center" w:pos="4153"/>
        <w:tab w:val="right" w:pos="8306"/>
      </w:tabs>
      <w:snapToGrid w:val="0"/>
      <w:jc w:val="left"/>
    </w:pPr>
    <w:rPr>
      <w:sz w:val="18"/>
      <w:szCs w:val="18"/>
    </w:rPr>
  </w:style>
  <w:style w:type="paragraph" w:styleId="3">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styleId="7">
    <w:name w:val="Hyperlink"/>
    <w:unhideWhenUsed/>
    <w:qFormat/>
    <w:uiPriority w:val="0"/>
    <w:rPr>
      <w:color w:val="0000FF"/>
      <w:u w:val="single"/>
    </w:rPr>
  </w:style>
  <w:style w:type="character" w:customStyle="1" w:styleId="8">
    <w:name w:val="页眉 Char"/>
    <w:basedOn w:val="5"/>
    <w:link w:val="3"/>
    <w:uiPriority w:val="0"/>
    <w:rPr>
      <w:rFonts w:ascii="Times New Roman" w:hAnsi="Times New Roman" w:eastAsia="宋体" w:cs="Times New Roman"/>
      <w:sz w:val="18"/>
      <w:szCs w:val="18"/>
    </w:rPr>
  </w:style>
  <w:style w:type="character" w:customStyle="1" w:styleId="9">
    <w:name w:val="页脚 Char"/>
    <w:basedOn w:val="5"/>
    <w:link w:val="2"/>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755</Words>
  <Characters>4310</Characters>
  <Lines>35</Lines>
  <Paragraphs>10</Paragraphs>
  <TotalTime>519</TotalTime>
  <ScaleCrop>false</ScaleCrop>
  <LinksUpToDate>false</LinksUpToDate>
  <CharactersWithSpaces>5055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2020-09-17T09:51:00Z</dcterms:created>
  <dc:creator>程辉</dc:creator>
  <cp:lastModifiedBy>俊英</cp:lastModifiedBy>
  <cp:lastPrinted>2020-09-18T07:01:00Z</cp:lastPrinted>
  <dcterms:modified xsi:type="dcterms:W3CDTF">2020-09-18T09:34:38Z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